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PURCHASING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265—15.1</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Applicability of competitive bidding.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val="false"/>
          <w:color w:val="000000"/>
          <w:sz w:val="22"/>
        </w:rPr>
        <w:t>Goods or services expected to cost more than $50,000 in the aggregate will be obtained through a formal or informal competitive bidding process conducted by the authority or through the department of administrative services whenever such procurement is in the best interests of the authority as determined by the authority. Goods or services expected to cost $50,000 or less in the aggregate may be obtained in any manner deemed appropriate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the authority may exempt any item from competitive bidding if the item is noncompetitive or is purchased in quantities too small to be effectively purchased through competitive bidding; if there is an immediate or emergency need for the item; if the purchase of the item facilitates compliance with set-aside procurement provisions; or if the director of the authority determines, in the director’s sole discretion, that the authority’s best interests will be served by exemption from the bidding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265—15.2</w:t>
      </w:r>
      <w:r>
        <w:rPr>
          <w:rFonts w:ascii="Times New Roman" w:hAnsi="Times New Roman"/>
          <w:b/>
          <w:i w:val="false"/>
          <w:color w:val="000000"/>
          <w:sz w:val="22"/>
        </w:rPr>
        <w:t xml:space="preserve">(16) </w:t>
      </w:r>
      <w:r>
        <w:rPr>
          <w:rFonts w:ascii="Times New Roman" w:hAnsi="Times New Roman"/>
          <w:b/>
          <w:i w:val="false"/>
          <w:color w:val="000000"/>
          <w:sz w:val="22"/>
        </w:rPr>
        <w:t xml:space="preserve">Methods of obtaining bids or proposals used by the authority. </w:t>
      </w:r>
      <w:r>
        <w:rPr>
          <w:rFonts w:ascii="Times New Roman" w:hAnsi="Times New Roman"/>
          <w:b w:val="false"/>
          <w:i w:val="false"/>
          <w:color w:val="000000"/>
          <w:sz w:val="22"/>
        </w:rPr>
        <w:t>Formal or informal bids or proposals may be obtained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Request for bids.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may prepare a request for bids for providing the goods or services sought by the authority. The request may be shared on the state website for bid opportunities, shared on the authority’s website, sent directly to vendors, or distributed in other means determined by the authority. The authority may use reverse auction methods to obtain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request for bids will include the due date and time of the bid opening, a description of the goods or services needed, and other information deemed necessary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will tabulate results as bids are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authority will make an award by the date identified in the request for bids. The price quoted by the vendors shall remain binding for the time period indicated in the request for bids. If an award is not made within the time frame indicated by the authority when requesting bids, all bids may be deemed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Informal bids.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may obtain informal bids through use of a written bid form, in electronic format, or in other manners determined appropriate by the authority. The authority will describe the goods or services sought by the authority, the date by which bids must be submitted, the anticipated award date and other information deemed necessary by the authority. The authority may use reverse auction methods to obtain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will tabulate results as bids are opened.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award is not made within the time frame indicated by the authority when requesting bids, all bids may be deemed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Request for proposals. </w:t>
      </w:r>
      <w:r>
        <w:rPr>
          <w:rFonts w:ascii="Times New Roman" w:hAnsi="Times New Roman"/>
          <w:b w:val="false"/>
          <w:i w:val="false"/>
          <w:color w:val="000000"/>
          <w:sz w:val="22"/>
        </w:rPr>
        <w:t>The authority may issue a request for proposals when cost is not the sole criterion for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will prepare a written request for proposals and submit the request to the department of administrative services for submission on the state website for bid opportunities. The authority may publicize a request through other means, including the authority’s website or sending the request for proposals to selected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proposals will generally include the purpose of the request, the scope of work to be performed, submission requirements and due date, terms and conditions of an award, review criteria and the anticipated time frame for awarding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will evaluate and rank proposals according to review criteria identified in the request for proposals. If an award is not made within the applicable time frame indicated by the authority when requesting proposals, all proposals may be deemed rejected.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265—15.3</w:t>
      </w:r>
      <w:r>
        <w:rPr>
          <w:rFonts w:ascii="Times New Roman" w:hAnsi="Times New Roman"/>
          <w:b/>
          <w:i w:val="false"/>
          <w:color w:val="000000"/>
          <w:sz w:val="22"/>
        </w:rPr>
        <w:t xml:space="preserve">(16) </w:t>
      </w:r>
      <w:r>
        <w:rPr>
          <w:rFonts w:ascii="Times New Roman" w:hAnsi="Times New Roman"/>
          <w:b/>
          <w:i w:val="false"/>
          <w:color w:val="000000"/>
          <w:sz w:val="22"/>
        </w:rPr>
        <w:t xml:space="preserve">Contract purchases. </w:t>
      </w:r>
      <w:r>
        <w:rPr>
          <w:rFonts w:ascii="Times New Roman" w:hAnsi="Times New Roman"/>
          <w:b w:val="false"/>
          <w:i w:val="false"/>
          <w:color w:val="000000"/>
          <w:sz w:val="22"/>
        </w:rPr>
        <w:t>The authority may enter into contract purchase agreements for items, groups of items, or services. Contract purchase agreements are subject to the competitive bidding requirements previously outlined, where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265—15.4</w:t>
      </w:r>
      <w:r>
        <w:rPr>
          <w:rFonts w:ascii="Times New Roman" w:hAnsi="Times New Roman"/>
          <w:b/>
          <w:i w:val="false"/>
          <w:color w:val="000000"/>
          <w:sz w:val="22"/>
        </w:rPr>
        <w:t xml:space="preserve">(16) </w:t>
      </w:r>
      <w:r>
        <w:rPr>
          <w:rFonts w:ascii="Times New Roman" w:hAnsi="Times New Roman"/>
          <w:b/>
          <w:i w:val="false"/>
          <w:color w:val="000000"/>
          <w:sz w:val="22"/>
        </w:rPr>
        <w:t xml:space="preserve">Blanket purchase agreements. </w:t>
      </w:r>
      <w:r>
        <w:rPr>
          <w:rFonts w:ascii="Times New Roman" w:hAnsi="Times New Roman"/>
          <w:b w:val="false"/>
          <w:i w:val="false"/>
          <w:color w:val="000000"/>
          <w:sz w:val="22"/>
        </w:rPr>
        <w:t>The authority may establish blanket purchase agreements. Blanket purchase agreements are subject to the competitive bidding requirements previously outlined, where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265—15.5</w:t>
      </w:r>
      <w:r>
        <w:rPr>
          <w:rFonts w:ascii="Times New Roman" w:hAnsi="Times New Roman"/>
          <w:b/>
          <w:i w:val="false"/>
          <w:color w:val="000000"/>
          <w:sz w:val="22"/>
        </w:rPr>
        <w:t xml:space="preserve">(16) </w:t>
      </w:r>
      <w:r>
        <w:rPr>
          <w:rFonts w:ascii="Times New Roman" w:hAnsi="Times New Roman"/>
          <w:b/>
          <w:i w:val="false"/>
          <w:color w:val="000000"/>
          <w:sz w:val="22"/>
        </w:rPr>
        <w:t xml:space="preserve">Bids and proposals to conform to specifications. </w:t>
      </w:r>
      <w:r>
        <w:rPr>
          <w:rFonts w:ascii="Times New Roman" w:hAnsi="Times New Roman"/>
          <w:b w:val="false"/>
          <w:i w:val="false"/>
          <w:color w:val="000000"/>
          <w:sz w:val="22"/>
        </w:rPr>
        <w:t>All bids and proposals must conform to the specifications provided by the authority, including deadlines for submission of bids or proposals. Bids and proposals that do not conform to the specifications stated may be rejected. The authority reserves the right to waive deficiencies in the bids or proposals if the authority’s best interests would be served by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265—15.6</w:t>
      </w:r>
      <w:r>
        <w:rPr>
          <w:rFonts w:ascii="Times New Roman" w:hAnsi="Times New Roman"/>
          <w:b/>
          <w:i w:val="false"/>
          <w:color w:val="000000"/>
          <w:sz w:val="22"/>
        </w:rPr>
        <w:t xml:space="preserve">(16) </w:t>
      </w:r>
      <w:r>
        <w:rPr>
          <w:rFonts w:ascii="Times New Roman" w:hAnsi="Times New Roman"/>
          <w:b/>
          <w:i w:val="false"/>
          <w:color w:val="000000"/>
          <w:sz w:val="22"/>
        </w:rPr>
        <w:t xml:space="preserve">Modification or withdrawal of bids. </w:t>
      </w:r>
      <w:r>
        <w:rPr>
          <w:rFonts w:ascii="Times New Roman" w:hAnsi="Times New Roman"/>
          <w:b w:val="false"/>
          <w:i w:val="false"/>
          <w:color w:val="000000"/>
          <w:sz w:val="22"/>
        </w:rPr>
        <w:t>Bids or proposals may be modified or withdrawn prior to the time and date set for the bid or proposal opening. Modifications or withdrawals must be submitted to the authority in writing. A bid or proposal may be withdrawn after opening with the approval of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265—15.7</w:t>
      </w:r>
      <w:r>
        <w:rPr>
          <w:rFonts w:ascii="Times New Roman" w:hAnsi="Times New Roman"/>
          <w:b/>
          <w:i w:val="false"/>
          <w:color w:val="000000"/>
          <w:sz w:val="22"/>
        </w:rPr>
        <w:t xml:space="preserve">(16) </w:t>
      </w:r>
      <w:r>
        <w:rPr>
          <w:rFonts w:ascii="Times New Roman" w:hAnsi="Times New Roman"/>
          <w:b/>
          <w:i w:val="false"/>
          <w:color w:val="000000"/>
          <w:sz w:val="22"/>
        </w:rPr>
        <w:t xml:space="preserve">Financial security. </w:t>
      </w:r>
      <w:r>
        <w:rPr>
          <w:rFonts w:ascii="Times New Roman" w:hAnsi="Times New Roman"/>
          <w:b w:val="false"/>
          <w:i w:val="false"/>
          <w:color w:val="000000"/>
          <w:sz w:val="22"/>
        </w:rPr>
        <w:t>The authority may require bid security, litigation security, and performance security on formal bids or proposals if specified in the request for bids or request for proposals.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265—15.8</w:t>
      </w:r>
      <w:r>
        <w:rPr>
          <w:rFonts w:ascii="Times New Roman" w:hAnsi="Times New Roman"/>
          <w:b/>
          <w:i w:val="false"/>
          <w:color w:val="000000"/>
          <w:sz w:val="22"/>
        </w:rPr>
        <w:t xml:space="preserve">(16) </w:t>
      </w:r>
      <w:r>
        <w:rPr>
          <w:rFonts w:ascii="Times New Roman" w:hAnsi="Times New Roman"/>
          <w:b/>
          <w:i w:val="false"/>
          <w:color w:val="000000"/>
          <w:sz w:val="22"/>
        </w:rPr>
        <w:t xml:space="preserve">Rejection of bids and proposals. </w:t>
      </w:r>
      <w:r>
        <w:rPr>
          <w:rFonts w:ascii="Times New Roman" w:hAnsi="Times New Roman"/>
          <w:b w:val="false"/>
          <w:i w:val="false"/>
          <w:color w:val="000000"/>
          <w:sz w:val="22"/>
        </w:rPr>
        <w:t>The authority reserves the right to reject any or all bids or proposals. Bids and proposals may be rejected because of faulty specifications, abandonment of the project, insufficient funds, evidence of unfair or flawed bidding procedures, failure of a vendor to meet the authority’s requirements or follow submission instructions, or for any other reason if the authority determines that its best interests will be served by rejecting any or all bids. New bids may be requested by the authority at any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9406C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265—15.9</w:t>
      </w:r>
      <w:r>
        <w:rPr>
          <w:rFonts w:ascii="Times New Roman" w:hAnsi="Times New Roman"/>
          <w:b/>
          <w:i w:val="false"/>
          <w:color w:val="000000"/>
          <w:sz w:val="22"/>
        </w:rPr>
        <w:t xml:space="preserve">(16) </w:t>
      </w:r>
      <w:r>
        <w:rPr>
          <w:rFonts w:ascii="Times New Roman" w:hAnsi="Times New Roman"/>
          <w:b/>
          <w:i w:val="false"/>
          <w:color w:val="000000"/>
          <w:sz w:val="22"/>
        </w:rPr>
        <w:t xml:space="preserve">Vendor appeals.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16.5(1)</w:t>
        </w:r>
      </w:hyperlink>
      <w:r>
        <w:rPr>
          <w:rFonts w:ascii="Times New Roman" w:hAnsi="Times New Roman"/>
          <w:b w:val="false"/>
          <w:i/>
          <w:color w:val="000000"/>
          <w:sz w:val="22"/>
        </w:rPr>
        <w:t>“f.”</w:t>
      </w:r>
    </w:p>
    <w:p>
      <w:pPr>
        <w:spacing w:before="0" w:after="0"/>
        <w:ind w:left="120"/>
        <w:jc w:val="center"/>
      </w:pPr>
      <w:r>
        <w:rPr>
          <w:rFonts w:ascii="Times New Roman" w:hAnsi="Times New Roman"/>
          <w:b w:val="false"/>
          <w:i w:val="false"/>
          <w:color w:val="000000"/>
          <w:sz w:val="21"/>
        </w:rPr>
        <w:t>[Filed 10/4/07, Notice 8/29/07—published 10/24/07, effective 11/28/07]</w:t>
      </w:r>
    </w:p>
    <w:p>
      <w:pPr>
        <w:spacing w:before="0" w:after="0"/>
        <w:ind w:left="120"/>
        <w:jc w:val="center"/>
      </w:pPr>
      <w:r>
        <w:rPr>
          <w:rFonts w:ascii="Times New Roman" w:hAnsi="Times New Roman"/>
          <w:b w:val="false"/>
          <w:i w:val="false"/>
          <w:color w:val="000000"/>
          <w:sz w:val="21"/>
        </w:rPr>
        <w:t>[Filed ARC 0430C</w:t>
      </w:r>
      <w:r>
        <w:rPr>
          <w:rFonts w:ascii="Times New Roman" w:hAnsi="Times New Roman"/>
          <w:b w:val="false"/>
          <w:i w:val="false"/>
          <w:color w:val="000000"/>
          <w:sz w:val="21"/>
        </w:rPr>
        <w:t xml:space="preserve"> (Notice ARC 0287C, IAB 8/22/12)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2001C</w:t>
      </w:r>
      <w:r>
        <w:rPr>
          <w:rFonts w:ascii="Times New Roman" w:hAnsi="Times New Roman"/>
          <w:b w:val="false"/>
          <w:i w:val="false"/>
          <w:color w:val="000000"/>
          <w:sz w:val="21"/>
        </w:rPr>
        <w:t xml:space="preserve"> (Notice ARC 1855C, IAB 2/4/15)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4319C</w:t>
      </w:r>
      <w:r>
        <w:rPr>
          <w:rFonts w:ascii="Times New Roman" w:hAnsi="Times New Roman"/>
          <w:b w:val="false"/>
          <w:i w:val="false"/>
          <w:color w:val="000000"/>
          <w:sz w:val="21"/>
        </w:rPr>
        <w:t xml:space="preserve"> (Notice ARC 4196C, IAB 1/2/19)</w:t>
      </w:r>
      <w:r>
        <w:rPr>
          <w:rFonts w:ascii="Times New Roman" w:hAnsi="Times New Roman"/>
          <w:b w:val="false"/>
          <w:i w:val="false"/>
          <w:color w:val="000000"/>
          <w:sz w:val="21"/>
        </w:rPr>
        <w:t>, IAB 2/27/19, effective 4/3/19]</w:t>
      </w:r>
    </w:p>
    <w:p>
      <w:pPr>
        <w:spacing w:before="0" w:after="0"/>
        <w:ind w:left="120"/>
        <w:jc w:val="center"/>
      </w:pPr>
      <w:r>
        <w:rPr>
          <w:rFonts w:ascii="Times New Roman" w:hAnsi="Times New Roman"/>
          <w:b w:val="false"/>
          <w:i w:val="false"/>
          <w:color w:val="000000"/>
          <w:sz w:val="21"/>
        </w:rPr>
        <w:t>[Filed ARC 9406C</w:t>
      </w:r>
      <w:r>
        <w:rPr>
          <w:rFonts w:ascii="Times New Roman" w:hAnsi="Times New Roman"/>
          <w:b w:val="false"/>
          <w:i w:val="false"/>
          <w:color w:val="000000"/>
          <w:sz w:val="21"/>
        </w:rPr>
        <w:t xml:space="preserve"> (Notice ARC 9188C, IAB 4/30/25)</w:t>
      </w:r>
      <w:r>
        <w:rPr>
          <w:rFonts w:ascii="Times New Roman" w:hAnsi="Times New Roman"/>
          <w:b w:val="false"/>
          <w:i w:val="false"/>
          <w:color w:val="000000"/>
          <w:sz w:val="21"/>
        </w:rPr>
        <w:t>, IAB 7/9/25, effective 8/13/25]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