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spacing w:before="0" w:after="0"/>
        <w:ind w:left="120"/>
        <w:jc w:val="both"/>
      </w:pPr>
      <w:r>
        <w:rPr>
          <w:rFonts w:ascii="Times New Roman" w:hAnsi="Times New Roman"/>
          <w:b/>
          <w:i w:val="false"/>
          <w:color w:val="000000"/>
          <w:sz w:val="22"/>
        </w:rPr>
        <w:t>265—13.1</w:t>
      </w:r>
      <w:r>
        <w:rPr>
          <w:rFonts w:ascii="Times New Roman" w:hAnsi="Times New Roman"/>
          <w:b/>
          <w:i w:val="false"/>
          <w:color w:val="000000"/>
          <w:sz w:val="22"/>
        </w:rPr>
        <w:t xml:space="preserve">(16,22)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Iowa finance authority created in Iowa Code section </w:t>
      </w:r>
      <w:hyperlink r:id="rId5">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“Confidential records”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records, as identified in Iowa Code section </w:t>
      </w:r>
      <w:hyperlink r:id="rId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any other provision of law, that are not disclosed to members of the public unless otherwise ordered by a court, by the custodian of the records, or by another person duly authorized to release the records. A record may be partially or wholly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“Custodian”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lawful custodian as defined in Iowa Code section </w:t>
      </w:r>
      <w:hyperlink r:id="rId7">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“Open record”</w:t>
      </w:r>
      <w:r>
        <w:rPr>
          <w:rFonts w:ascii="Times New Roman" w:hAnsi="Times New Roman"/>
          <w:b w:val="false"/>
          <w:i w:val="false"/>
          <w:color w:val="000000"/>
          <w:sz w:val="22"/>
        </w:rPr>
        <w:t> </w:t>
      </w:r>
      <w:r>
        <w:rPr>
          <w:rFonts w:ascii="Times New Roman" w:hAnsi="Times New Roman"/>
          <w:b w:val="false"/>
          <w:i w:val="false"/>
          <w:color w:val="000000"/>
          <w:sz w:val="22"/>
        </w:rPr>
        <w:t>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“Personally identifiable information”</w:t>
      </w:r>
      <w:r>
        <w:rPr>
          <w:rFonts w:ascii="Times New Roman" w:hAnsi="Times New Roman"/>
          <w:b w:val="false"/>
          <w:i w:val="false"/>
          <w:color w:val="000000"/>
          <w:sz w:val="22"/>
        </w:rPr>
        <w:t> </w:t>
      </w:r>
      <w:r>
        <w:rPr>
          <w:rFonts w:ascii="Times New Roman" w:hAnsi="Times New Roman"/>
          <w:b w:val="false"/>
          <w:i w:val="false"/>
          <w:color w:val="000000"/>
          <w:sz w:val="22"/>
        </w:rPr>
        <w:t>means information about or pertaining to an individual in a record that identifies the individual and that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whole or a part of a “public record” as defined in Iowa Code section </w:t>
      </w:r>
      <w:hyperlink r:id="rId8">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xml:space="preserve"> that is owned by or is in the physical possession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 system”</w:t>
      </w:r>
      <w:r>
        <w:rPr>
          <w:rFonts w:ascii="Times New Roman" w:hAnsi="Times New Roman"/>
          <w:b w:val="false"/>
          <w:i w:val="false"/>
          <w:color w:val="000000"/>
          <w:sz w:val="22"/>
        </w:rPr>
        <w:t> </w:t>
      </w:r>
      <w:r>
        <w:rPr>
          <w:rFonts w:ascii="Times New Roman" w:hAnsi="Times New Roman"/>
          <w:b w:val="false"/>
          <w:i w:val="false"/>
          <w:color w:val="000000"/>
          <w:sz w:val="22"/>
        </w:rPr>
        <w:t>means any group of records under the control of the authority from which a record may be retrieved by a personal identifier such as the name of an individual, number, symbol, or other unique retriever assigned to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“Request for confidential treatment”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request, made pursuant to rule </w:t>
      </w:r>
      <w:hyperlink r:id="rId9">
        <w:r>
          <w:rPr>
            <w:rStyle w:val="Hyperlink"/>
            <w:rFonts w:ascii="Times New Roman" w:hAnsi="Times New Roman"/>
            <w:b w:val="false"/>
            <w:i w:val="false"/>
            <w:color w:val="000000"/>
            <w:sz w:val="22"/>
          </w:rPr>
          <w:t>265—13.4</w:t>
        </w:r>
      </w:hyperlink>
      <w:r>
        <w:rPr>
          <w:rFonts w:ascii="Times New Roman" w:hAnsi="Times New Roman"/>
          <w:b w:val="false"/>
          <w:i w:val="false"/>
          <w:color w:val="000000"/>
          <w:sz w:val="22"/>
        </w:rPr>
        <w:t>(16,22), for the authority to treat a record as a confidential record and withhold such record from public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9031C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265—13.2</w:t>
      </w:r>
      <w:r>
        <w:rPr>
          <w:rFonts w:ascii="Times New Roman" w:hAnsi="Times New Roman"/>
          <w:b/>
          <w:i w:val="false"/>
          <w:color w:val="000000"/>
          <w:sz w:val="22"/>
        </w:rPr>
        <w:t xml:space="preserve">(16,22) </w:t>
      </w:r>
      <w:r>
        <w:rPr>
          <w:rFonts w:ascii="Times New Roman" w:hAnsi="Times New Roman"/>
          <w:b/>
          <w:i w:val="false"/>
          <w:color w:val="000000"/>
          <w:sz w:val="22"/>
        </w:rPr>
        <w:t xml:space="preserve">Requests for access to authority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265—13.3</w:t>
      </w:r>
      <w:r>
        <w:rPr>
          <w:rFonts w:ascii="Times New Roman" w:hAnsi="Times New Roman"/>
          <w:b/>
          <w:i w:val="false"/>
          <w:color w:val="000000"/>
          <w:sz w:val="22"/>
        </w:rPr>
        <w:t xml:space="preserve">(16,22)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265—13.4</w:t>
      </w:r>
      <w:r>
        <w:rPr>
          <w:rFonts w:ascii="Times New Roman" w:hAnsi="Times New Roman"/>
          <w:b/>
          <w:i w:val="false"/>
          <w:color w:val="000000"/>
          <w:sz w:val="22"/>
        </w:rPr>
        <w:t xml:space="preserve">(16,22) </w:t>
      </w:r>
      <w:r>
        <w:rPr>
          <w:rFonts w:ascii="Times New Roman" w:hAnsi="Times New Roman"/>
          <w:b/>
          <w:i w:val="false"/>
          <w:color w:val="000000"/>
          <w:sz w:val="22"/>
        </w:rPr>
        <w:t xml:space="preserve">Requests for confidential treatment.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265—13.5</w:t>
      </w:r>
      <w:r>
        <w:rPr>
          <w:rFonts w:ascii="Times New Roman" w:hAnsi="Times New Roman"/>
          <w:b/>
          <w:i w:val="false"/>
          <w:color w:val="000000"/>
          <w:sz w:val="22"/>
        </w:rPr>
        <w:t xml:space="preserve">(16,22) </w:t>
      </w:r>
      <w:r>
        <w:rPr>
          <w:rFonts w:ascii="Times New Roman" w:hAnsi="Times New Roman"/>
          <w:b/>
          <w:i w:val="false"/>
          <w:color w:val="000000"/>
          <w:sz w:val="22"/>
        </w:rPr>
        <w:t xml:space="preserve">Additions, dissents or objections.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265—13.6</w:t>
      </w:r>
      <w:r>
        <w:rPr>
          <w:rFonts w:ascii="Times New Roman" w:hAnsi="Times New Roman"/>
          <w:b/>
          <w:i w:val="false"/>
          <w:color w:val="000000"/>
          <w:sz w:val="22"/>
        </w:rPr>
        <w:t xml:space="preserve">(16,22) </w:t>
      </w:r>
      <w:r>
        <w:rPr>
          <w:rFonts w:ascii="Times New Roman" w:hAnsi="Times New Roman"/>
          <w:b/>
          <w:i w:val="false"/>
          <w:color w:val="000000"/>
          <w:sz w:val="22"/>
        </w:rPr>
        <w:t xml:space="preserve">Notices to suppliers of information.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265—13.7</w:t>
      </w:r>
      <w:r>
        <w:rPr>
          <w:rFonts w:ascii="Times New Roman" w:hAnsi="Times New Roman"/>
          <w:b/>
          <w:i w:val="false"/>
          <w:color w:val="000000"/>
          <w:sz w:val="22"/>
        </w:rPr>
        <w:t xml:space="preserve">(16,22) </w:t>
      </w:r>
      <w:r>
        <w:rPr>
          <w:rFonts w:ascii="Times New Roman" w:hAnsi="Times New Roman"/>
          <w:b/>
          <w:i w:val="false"/>
          <w:color w:val="000000"/>
          <w:sz w:val="22"/>
        </w:rPr>
        <w:t xml:space="preserve">Disclosure of records—consent.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265—13.8</w:t>
      </w:r>
      <w:r>
        <w:rPr>
          <w:rFonts w:ascii="Times New Roman" w:hAnsi="Times New Roman"/>
          <w:b/>
          <w:i w:val="false"/>
          <w:color w:val="000000"/>
          <w:sz w:val="22"/>
        </w:rPr>
        <w:t xml:space="preserve">(16,22)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265—13.9</w:t>
      </w:r>
      <w:r>
        <w:rPr>
          <w:rFonts w:ascii="Times New Roman" w:hAnsi="Times New Roman"/>
          <w:b/>
          <w:i w:val="false"/>
          <w:color w:val="000000"/>
          <w:sz w:val="22"/>
        </w:rPr>
        <w:t xml:space="preserve">(16,22) </w:t>
      </w:r>
      <w:r>
        <w:rPr>
          <w:rFonts w:ascii="Times New Roman" w:hAnsi="Times New Roman"/>
          <w:b/>
          <w:i w:val="false"/>
          <w:color w:val="000000"/>
          <w:sz w:val="22"/>
        </w:rPr>
        <w:t xml:space="preserve">Personally identifiable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collects personally identifiable information pursuant to Iowa Code chapter </w:t>
      </w:r>
      <w:hyperlink r:id="rId10">
        <w:r>
          <w:rPr>
            <w:rStyle w:val="Hyperlink"/>
            <w:rFonts w:ascii="Times New Roman" w:hAnsi="Times New Roman"/>
            <w:b w:val="false"/>
            <w:i w:val="false"/>
            <w:color w:val="000000"/>
            <w:sz w:val="22"/>
          </w:rPr>
          <w:t>16</w:t>
        </w:r>
      </w:hyperlink>
      <w:r>
        <w:rPr>
          <w:rFonts w:ascii="Times New Roman" w:hAnsi="Times New Roman"/>
          <w:b w:val="false"/>
          <w:i w:val="false"/>
          <w:color w:val="000000"/>
          <w:sz w:val="22"/>
        </w:rPr>
        <w:t>, federal statutes and regulations governing federal programs and the issuance of debt by the authority, and other applicable laws. Personally identifiable information is stored by electronic and physical methods. The authority’s record systems do not match, collate or compare personally identifiable information in each system with personally identifiable information contained in other record systems. The authority’s record systems can collect, maintain and retrieve information by personal identifiers, including names, mailing addresses, and email addresses. This rule describes the nature and extent of personally identifiable information that is collected, maintained and retrieved by the authority by personal identifier in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13.9(2)</w:t>
      </w:r>
      <w:r>
        <w:rPr>
          <w:rFonts w:ascii="Times New Roman" w:hAnsi="Times New Roman"/>
          <w:b w:val="false"/>
          <w:i w:val="false"/>
          <w:color w:val="000000"/>
          <w:sz w:val="22"/>
        </w:rPr>
        <w:t> </w:t>
      </w:r>
      <w:r>
        <w:rPr>
          <w:rFonts w:ascii="Times New Roman" w:hAnsi="Times New Roman"/>
          <w:b w:val="false"/>
          <w:i/>
          <w:color w:val="000000"/>
          <w:sz w:val="22"/>
        </w:rPr>
        <w:t xml:space="preserve">Program records. </w:t>
      </w:r>
      <w:r>
        <w:rPr>
          <w:rFonts w:ascii="Times New Roman" w:hAnsi="Times New Roman"/>
          <w:b w:val="false"/>
          <w:i w:val="false"/>
          <w:color w:val="000000"/>
          <w:sz w:val="22"/>
        </w:rPr>
        <w:t xml:space="preserve">Records of persons or organizations participating in the authority’s programs are collected by the authority. These records may contain information about individuals collected pursuant to specific federal or state statutes or regulations. Personally identifiable information, such as name, address, social security number and telephone number, may be included in these records when the applicant is an individual. Portions of program records may be confidential pursuant to Iowa Code section </w:t>
      </w:r>
      <w:hyperlink r:id="rId11">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13.9(3)</w:t>
      </w:r>
      <w:r>
        <w:rPr>
          <w:rFonts w:ascii="Times New Roman" w:hAnsi="Times New Roman"/>
          <w:b w:val="false"/>
          <w:i w:val="false"/>
          <w:color w:val="000000"/>
          <w:sz w:val="22"/>
        </w:rPr>
        <w:t> </w:t>
      </w:r>
      <w:r>
        <w:rPr>
          <w:rFonts w:ascii="Times New Roman" w:hAnsi="Times New Roman"/>
          <w:b w:val="false"/>
          <w:i/>
          <w:color w:val="000000"/>
          <w:sz w:val="22"/>
        </w:rPr>
        <w:t xml:space="preserve">Correspondence. </w:t>
      </w:r>
      <w:r>
        <w:rPr>
          <w:rFonts w:ascii="Times New Roman" w:hAnsi="Times New Roman"/>
          <w:b w:val="false"/>
          <w:i w:val="false"/>
          <w:color w:val="000000"/>
          <w:sz w:val="22"/>
        </w:rPr>
        <w:t xml:space="preserve">Records of correspondence from persons outside the authority or sent to persons outside the authority may contain personally identifiable information provided by the sender or recipient of such correspondence. Portions of correspondence may be confidential pursuant to Iowa Code section </w:t>
      </w:r>
      <w:hyperlink r:id="rId12">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13.9(4)</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 xml:space="preserve">The authority maintains records regarding litigation or anticipated litigation, which includes judicial and administrative proceedings. These records contain materials that are confidential as attorney work product and attorney-client communications pursuant to Iowa Code sections </w:t>
      </w:r>
      <w:hyperlink r:id="rId13">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xml:space="preserve">; Iowa </w:t>
      </w:r>
      <w:r>
        <w:rPr>
          <w:rFonts w:ascii="Times New Roman" w:hAnsi="Times New Roman"/>
          <w:b w:val="false"/>
          <w:i w:val="false"/>
          <w:color w:val="000000"/>
          <w:sz w:val="22"/>
        </w:rPr>
        <w:t>Rule of Civil Procedure 1.503</w:t>
      </w:r>
      <w:r>
        <w:rPr>
          <w:rFonts w:ascii="Times New Roman" w:hAnsi="Times New Roman"/>
          <w:b w:val="false"/>
          <w:i w:val="false"/>
          <w:color w:val="000000"/>
          <w:sz w:val="22"/>
        </w:rPr>
        <w:t>(3); Federal Rule of Civil Procedure 26(b)(3); the rules of evidence; the Code of Professional Responsibility; and case law. Some materials are confidential under other applicable provisions of law or as directed by a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13.9(5)</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 authority maintains files containing information about employees, families and dependents, and applicants for positions with the authority. Portions of personnel files may be confidential pursuant to Iowa Code section </w:t>
      </w:r>
      <w:hyperlink r:id="rId16">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13.9(6)</w:t>
      </w:r>
      <w:r>
        <w:rPr>
          <w:rFonts w:ascii="Times New Roman" w:hAnsi="Times New Roman"/>
          <w:b w:val="false"/>
          <w:i w:val="false"/>
          <w:color w:val="000000"/>
          <w:sz w:val="22"/>
        </w:rPr>
        <w:t> </w:t>
      </w:r>
      <w:r>
        <w:rPr>
          <w:rFonts w:ascii="Times New Roman" w:hAnsi="Times New Roman"/>
          <w:b w:val="false"/>
          <w:i/>
          <w:color w:val="000000"/>
          <w:sz w:val="22"/>
        </w:rPr>
        <w:t xml:space="preserve">Bond records. </w:t>
      </w:r>
      <w:r>
        <w:rPr>
          <w:rFonts w:ascii="Times New Roman" w:hAnsi="Times New Roman"/>
          <w:b w:val="false"/>
          <w:i w:val="false"/>
          <w:color w:val="000000"/>
          <w:sz w:val="22"/>
        </w:rPr>
        <w:t xml:space="preserve">The authority maintains records related to bonds as provided in Iowa Code section </w:t>
      </w:r>
      <w:hyperlink r:id="rId17">
        <w:r>
          <w:rPr>
            <w:rStyle w:val="Hyperlink"/>
            <w:rFonts w:ascii="Times New Roman" w:hAnsi="Times New Roman"/>
            <w:b w:val="false"/>
            <w:i w:val="false"/>
            <w:color w:val="000000"/>
            <w:sz w:val="22"/>
          </w:rPr>
          <w:t>76.10</w:t>
        </w:r>
      </w:hyperlink>
      <w:r>
        <w:rPr>
          <w:rFonts w:ascii="Times New Roman" w:hAnsi="Times New Roman"/>
          <w:b w:val="false"/>
          <w:i w:val="false"/>
          <w:color w:val="000000"/>
          <w:sz w:val="22"/>
        </w:rPr>
        <w:t xml:space="preserve">. Such records may be confidential pursuant to Iowa Code section </w:t>
      </w:r>
      <w:hyperlink r:id="rId18">
        <w:r>
          <w:rPr>
            <w:rStyle w:val="Hyperlink"/>
            <w:rFonts w:ascii="Times New Roman" w:hAnsi="Times New Roman"/>
            <w:b w:val="false"/>
            <w:i w:val="false"/>
            <w:color w:val="000000"/>
            <w:sz w:val="22"/>
          </w:rPr>
          <w:t>22.7(17)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9031C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265—13.10</w:t>
      </w:r>
      <w:r>
        <w:rPr>
          <w:rFonts w:ascii="Times New Roman" w:hAnsi="Times New Roman"/>
          <w:b/>
          <w:i w:val="false"/>
          <w:color w:val="000000"/>
          <w:sz w:val="22"/>
        </w:rPr>
        <w:t xml:space="preserve">(16,22)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authority other than record systems. These records are routinely available to the public. All or portions of such records may contain confidential information pursuant to Iowa Code section </w:t>
      </w:r>
      <w:hyperlink r:id="rId19">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law. The records are stored by electronic and physical methods.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13.10(1)</w:t>
      </w:r>
      <w:r>
        <w:rPr>
          <w:rFonts w:ascii="Times New Roman" w:hAnsi="Times New Roman"/>
          <w:b w:val="false"/>
          <w:i w:val="false"/>
          <w:color w:val="000000"/>
          <w:sz w:val="22"/>
        </w:rPr>
        <w:t> </w:t>
      </w:r>
      <w:r>
        <w:rPr>
          <w:rFonts w:ascii="Times New Roman" w:hAnsi="Times New Roman"/>
          <w:b w:val="false"/>
          <w:i/>
          <w:color w:val="000000"/>
          <w:sz w:val="22"/>
        </w:rPr>
        <w:t xml:space="preserve">Rulemaking records. </w:t>
      </w:r>
      <w:r>
        <w:rPr>
          <w:rFonts w:ascii="Times New Roman" w:hAnsi="Times New Roman"/>
          <w:b w:val="false"/>
          <w:i w:val="false"/>
          <w:color w:val="000000"/>
          <w:sz w:val="22"/>
        </w:rPr>
        <w:t xml:space="preserve">Rulemaking records may contain information about individuals making written or oral comments on proposed rules. This information is collected pursuant to Iowa Code section </w:t>
      </w:r>
      <w:hyperlink r:id="rId20">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13.10(2)</w:t>
      </w:r>
      <w:r>
        <w:rPr>
          <w:rFonts w:ascii="Times New Roman" w:hAnsi="Times New Roman"/>
          <w:b w:val="false"/>
          <w:i w:val="false"/>
          <w:color w:val="000000"/>
          <w:sz w:val="22"/>
        </w:rPr>
        <w:t> </w:t>
      </w:r>
      <w:r>
        <w:rPr>
          <w:rFonts w:ascii="Times New Roman" w:hAnsi="Times New Roman"/>
          <w:b w:val="false"/>
          <w:i/>
          <w:color w:val="000000"/>
          <w:sz w:val="22"/>
        </w:rPr>
        <w:t xml:space="preserve">Meeting records. </w:t>
      </w:r>
      <w:r>
        <w:rPr>
          <w:rFonts w:ascii="Times New Roman" w:hAnsi="Times New Roman"/>
          <w:b w:val="false"/>
          <w:i w:val="false"/>
          <w:color w:val="000000"/>
          <w:sz w:val="22"/>
        </w:rPr>
        <w:t xml:space="preserve">Agendas, minutes and materials presented to boards and other bodies associated with the authority are available from the authority, except those records concerning closed sessions that are exempt from disclosure under Iowa Code section </w:t>
      </w:r>
      <w:hyperlink r:id="rId21">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xml:space="preserve"> or that are otherwise confidential by law. Authority meeting records contain information about people who participate in meetings. The information is collected pursuant to Iowa Code section </w:t>
      </w:r>
      <w:hyperlink r:id="rId22">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retrieved by individual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News releases, annual reports, project reports, newsletters, and related documents are available from the authority. Authority news releases, project reports, and newsletters may contain information about individuals, including authority staff. This information is not retrieved by individual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13.10(4)</w:t>
      </w:r>
      <w:r>
        <w:rPr>
          <w:rFonts w:ascii="Times New Roman" w:hAnsi="Times New Roman"/>
          <w:b w:val="false"/>
          <w:i w:val="false"/>
          <w:color w:val="000000"/>
          <w:sz w:val="22"/>
        </w:rPr>
        <w:t> </w:t>
      </w:r>
      <w:r>
        <w:rPr>
          <w:rFonts w:ascii="Times New Roman" w:hAnsi="Times New Roman"/>
          <w:b w:val="false"/>
          <w:i/>
          <w:color w:val="000000"/>
          <w:sz w:val="22"/>
        </w:rPr>
        <w:t xml:space="preserve">Statistical reports. </w:t>
      </w:r>
      <w:r>
        <w:rPr>
          <w:rFonts w:ascii="Times New Roman" w:hAnsi="Times New Roman"/>
          <w:b w:val="false"/>
          <w:i w:val="false"/>
          <w:color w:val="000000"/>
          <w:sz w:val="22"/>
        </w:rPr>
        <w:t>Periodic reports for various authority programs are available from the authority. Statistical reports do not contain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13.10(5)</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authority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13.10(6)</w:t>
      </w:r>
      <w:r>
        <w:rPr>
          <w:rFonts w:ascii="Times New Roman" w:hAnsi="Times New Roman"/>
          <w:b w:val="false"/>
          <w:i w:val="false"/>
          <w:color w:val="000000"/>
          <w:sz w:val="22"/>
        </w:rPr>
        <w:t> </w:t>
      </w:r>
      <w:r>
        <w:rPr>
          <w:rFonts w:ascii="Times New Roman" w:hAnsi="Times New Roman"/>
          <w:b w:val="false"/>
          <w:i/>
          <w:color w:val="000000"/>
          <w:sz w:val="22"/>
        </w:rPr>
        <w:t xml:space="preserve">Policy manuals. </w:t>
      </w:r>
      <w:r>
        <w:rPr>
          <w:rFonts w:ascii="Times New Roman" w:hAnsi="Times New Roman"/>
          <w:b w:val="false"/>
          <w:i w:val="false"/>
          <w:color w:val="000000"/>
          <w:sz w:val="22"/>
        </w:rPr>
        <w:t>The authority employees’ manual, containing procedures describing the authority’s regulations and practices, is available. Policy manuals do not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13.10(7)</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All other records that are not exempt from disclosure by law are available from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9031C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265—13.11</w:t>
      </w:r>
      <w:r>
        <w:rPr>
          <w:rFonts w:ascii="Times New Roman" w:hAnsi="Times New Roman"/>
          <w:b/>
          <w:i w:val="false"/>
          <w:color w:val="000000"/>
          <w:sz w:val="22"/>
        </w:rPr>
        <w:t xml:space="preserve">(16,22)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Rescinded by 2026 Iowa Acts, Senate File 2463, section 4, effective July 1, 2026. </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3">
        <w:r>
          <w:rPr>
            <w:rStyle w:val="Hyperlink"/>
            <w:rFonts w:ascii="Times New Roman" w:hAnsi="Times New Roman"/>
            <w:b w:val="false"/>
            <w:i w:val="false"/>
            <w:color w:val="000000"/>
            <w:sz w:val="22"/>
          </w:rPr>
          <w:t>16</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8/19/88 after Notice 3/23/88—published 9/7/88, effective 8/19/88]</w:t>
      </w:r>
    </w:p>
    <w:p>
      <w:pPr>
        <w:spacing w:before="0" w:after="0"/>
        <w:ind w:left="120"/>
        <w:jc w:val="center"/>
      </w:pPr>
      <w:r>
        <w:rPr>
          <w:rFonts w:ascii="Times New Roman" w:hAnsi="Times New Roman"/>
          <w:b w:val="false"/>
          <w:i w:val="false"/>
          <w:color w:val="000000"/>
          <w:sz w:val="21"/>
        </w:rPr>
        <w:t>[Filed 3/19/91, Notice 10/17/90—published 4/3/91, effective 5/8/91]</w:t>
      </w:r>
    </w:p>
    <w:p>
      <w:pPr>
        <w:spacing w:before="0" w:after="0"/>
        <w:ind w:left="120"/>
        <w:jc w:val="center"/>
      </w:pPr>
      <w:r>
        <w:rPr>
          <w:rFonts w:ascii="Times New Roman" w:hAnsi="Times New Roman"/>
          <w:b w:val="false"/>
          <w:i w:val="false"/>
          <w:color w:val="000000"/>
          <w:sz w:val="21"/>
        </w:rPr>
        <w:t>[Filed ARC 4319C</w:t>
      </w:r>
      <w:r>
        <w:rPr>
          <w:rFonts w:ascii="Times New Roman" w:hAnsi="Times New Roman"/>
          <w:b w:val="false"/>
          <w:i w:val="false"/>
          <w:color w:val="000000"/>
          <w:sz w:val="21"/>
        </w:rPr>
        <w:t xml:space="preserve"> (Notice ARC 4196C, IAB 1/2/19)</w:t>
      </w:r>
      <w:r>
        <w:rPr>
          <w:rFonts w:ascii="Times New Roman" w:hAnsi="Times New Roman"/>
          <w:b w:val="false"/>
          <w:i w:val="false"/>
          <w:color w:val="000000"/>
          <w:sz w:val="21"/>
        </w:rPr>
        <w:t>, IAB 2/27/19, effective 4/3/19]</w:t>
      </w:r>
    </w:p>
    <w:p>
      <w:pPr>
        <w:spacing w:before="0" w:after="0"/>
        <w:ind w:left="120"/>
        <w:jc w:val="center"/>
      </w:pPr>
      <w:r>
        <w:rPr>
          <w:rFonts w:ascii="Times New Roman" w:hAnsi="Times New Roman"/>
          <w:b w:val="false"/>
          <w:i w:val="false"/>
          <w:color w:val="000000"/>
          <w:sz w:val="21"/>
        </w:rPr>
        <w:t>[Filed ARC 9031C</w:t>
      </w:r>
      <w:r>
        <w:rPr>
          <w:rFonts w:ascii="Times New Roman" w:hAnsi="Times New Roman"/>
          <w:b w:val="false"/>
          <w:i w:val="false"/>
          <w:color w:val="000000"/>
          <w:sz w:val="21"/>
        </w:rPr>
        <w:t xml:space="preserve"> (Notice ARC 8481C, IAB 12/11/24)</w:t>
      </w:r>
      <w:r>
        <w:rPr>
          <w:rFonts w:ascii="Times New Roman" w:hAnsi="Times New Roman"/>
          <w:b w:val="false"/>
          <w:i w:val="false"/>
          <w:color w:val="000000"/>
          <w:sz w:val="21"/>
        </w:rPr>
        <w:t>, IAB 3/19/25, effective 4/23/25]</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2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1A.pdf" Type="http://schemas.openxmlformats.org/officeDocument/2006/relationships/hyperlink" Id="rId5"/>
    <Relationship TargetMode="External" Target="https://www.legis.iowa.gov/docs/ico/chapter/22.7.pdf" Type="http://schemas.openxmlformats.org/officeDocument/2006/relationships/hyperlink" Id="rId6"/>
    <Relationship TargetMode="External" Target="https://www.legis.iowa.gov/docs/ico/chapter/22.1.pdf" Type="http://schemas.openxmlformats.org/officeDocument/2006/relationships/hyperlink" Id="rId7"/>
    <Relationship TargetMode="External" Target="https://www.legis.iowa.gov/docs/ico/chapter/22.1.pdf" Type="http://schemas.openxmlformats.org/officeDocument/2006/relationships/hyperlink" Id="rId8"/>
    <Relationship TargetMode="External" Target="https://www.legis.iowa.gov/docs/iac/rule/265.13.4.pdf" Type="http://schemas.openxmlformats.org/officeDocument/2006/relationships/hyperlink" Id="rId9"/>
    <Relationship TargetMode="External" Target="https://www.legis.iowa.gov/docs/ico/chapter/16.pdf" Type="http://schemas.openxmlformats.org/officeDocument/2006/relationships/hyperlink" Id="rId10"/>
    <Relationship TargetMode="External" Target="https://www.legis.iowa.gov/docs/ico/chapter/22.7.pdf" Type="http://schemas.openxmlformats.org/officeDocument/2006/relationships/hyperlink" Id="rId11"/>
    <Relationship TargetMode="External" Target="https://www.legis.iowa.gov/docs/ico/chapter/22.7.pdf" Type="http://schemas.openxmlformats.org/officeDocument/2006/relationships/hyperlink" Id="rId12"/>
    <Relationship TargetMode="External" Target="https://www.legis.iowa.gov/docs/ico/chapter/22.7.pdf" Type="http://schemas.openxmlformats.org/officeDocument/2006/relationships/hyperlink" Id="rId13"/>
    <Relationship TargetMode="External" Target="https://www.legis.iowa.gov/docs/ico/chapter/622.10.pdf" Type="http://schemas.openxmlformats.org/officeDocument/2006/relationships/hyperlink" Id="rId14"/>
    <Relationship TargetMode="External" Target="https://www.legis.iowa.gov/docs/ico/chapter/622.11.pdf" Type="http://schemas.openxmlformats.org/officeDocument/2006/relationships/hyperlink" Id="rId15"/>
    <Relationship TargetMode="External" Target="https://www.legis.iowa.gov/docs/ico/chapter/22.7.pdf" Type="http://schemas.openxmlformats.org/officeDocument/2006/relationships/hyperlink" Id="rId16"/>
    <Relationship TargetMode="External" Target="https://www.legis.iowa.gov/docs/ico/chapter/76.10.pdf" Type="http://schemas.openxmlformats.org/officeDocument/2006/relationships/hyperlink" Id="rId17"/>
    <Relationship TargetMode="External" Target="https://www.legis.iowa.gov/docs/ico/chapter/22.7.pdf" Type="http://schemas.openxmlformats.org/officeDocument/2006/relationships/hyperlink" Id="rId18"/>
    <Relationship TargetMode="External" Target="https://www.legis.iowa.gov/docs/ico/chapter/22.7.pdf" Type="http://schemas.openxmlformats.org/officeDocument/2006/relationships/hyperlink" Id="rId19"/>
    <Relationship TargetMode="External" Target="https://www.legis.iowa.gov/docs/ico/chapter/17A.4.pdf" Type="http://schemas.openxmlformats.org/officeDocument/2006/relationships/hyperlink" Id="rId20"/>
    <Relationship TargetMode="External" Target="https://www.legis.iowa.gov/docs/ico/chapter/21.5.pdf" Type="http://schemas.openxmlformats.org/officeDocument/2006/relationships/hyperlink" Id="rId21"/>
    <Relationship TargetMode="External" Target="https://www.legis.iowa.gov/docs/ico/chapter/21.3.pdf" Type="http://schemas.openxmlformats.org/officeDocument/2006/relationships/hyperlink" Id="rId22"/>
    <Relationship TargetMode="External" Target="https://www.legis.iowa.gov/docs/ico/chapter/16.pdf" Type="http://schemas.openxmlformats.org/officeDocument/2006/relationships/hyperlink" Id="rId23"/>
    <Relationship TargetMode="External" Target="https://www.legis.iowa.gov/docs/ico/chapter/22.pdf" Type="http://schemas.openxmlformats.org/officeDocument/2006/relationships/hyperlink" Id="rId24"/>
    <Relationship Target="footer.xml" Type="http://schemas.openxmlformats.org/officeDocument/2006/relationships/footer"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