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GENERAL</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1/1/30</w:t>
      </w:r>
    </w:p>
    <w:p>
      <w:pPr>
        <w:spacing w:before="0" w:after="0"/>
        <w:ind w:left="120"/>
        <w:jc w:val="both"/>
      </w:pPr>
      <w:r>
        <w:rPr>
          <w:rFonts w:ascii="Times New Roman" w:hAnsi="Times New Roman"/>
          <w:b/>
          <w:i w:val="false"/>
          <w:color w:val="000000"/>
          <w:sz w:val="22"/>
        </w:rPr>
        <w:t>265—1.1</w:t>
      </w:r>
      <w:r>
        <w:rPr>
          <w:rFonts w:ascii="Times New Roman" w:hAnsi="Times New Roman"/>
          <w:b/>
          <w:i w:val="false"/>
          <w:color w:val="000000"/>
          <w:sz w:val="22"/>
        </w:rPr>
        <w:t xml:space="preserve">(16) </w:t>
      </w:r>
      <w:r>
        <w:rPr>
          <w:rFonts w:ascii="Times New Roman" w:hAnsi="Times New Roman"/>
          <w:b/>
          <w:i w:val="false"/>
          <w:color w:val="000000"/>
          <w:sz w:val="22"/>
        </w:rPr>
        <w:t xml:space="preserve">Mission. </w:t>
      </w:r>
      <w:r>
        <w:rPr>
          <w:rFonts w:ascii="Times New Roman" w:hAnsi="Times New Roman"/>
          <w:b w:val="false"/>
          <w:i w:val="false"/>
          <w:color w:val="000000"/>
          <w:sz w:val="22"/>
        </w:rPr>
        <w:t>The mission of the authority is to administer programs and provide financial assistance to increase the supply of affordable housing, assist in the construction and operation of various types of water treatment facilities, provide financial assistance to lower the barriers to entry for beginning farmers, and provide title guaranties to maintain land title stability.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8412C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265—1.2</w:t>
      </w:r>
      <w:r>
        <w:rPr>
          <w:rFonts w:ascii="Times New Roman" w:hAnsi="Times New Roman"/>
          <w:b/>
          <w:i w:val="false"/>
          <w:color w:val="000000"/>
          <w:sz w:val="22"/>
        </w:rPr>
        <w:t xml:space="preserve">(16) </w:t>
      </w:r>
      <w:r>
        <w:rPr>
          <w:rFonts w:ascii="Times New Roman" w:hAnsi="Times New Roman"/>
          <w:b/>
          <w:i w:val="false"/>
          <w:color w:val="000000"/>
          <w:sz w:val="22"/>
        </w:rPr>
        <w:t xml:space="preserve">Finance authority board of directors.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 xml:space="preserve"> creates the board of directors of the authority and describes the board’s membership. The board holds meetings pursuant to Iowa Code section </w:t>
      </w:r>
      <w:hyperlink r:id="rId6">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 xml:space="preserve">. Meetings are generally held at 1963 Bell Avenue, Suite 200, Des Moines, Iowa 50315, or at such other location as the authority may designate. Meetings of the board are subject to Iowa Code chapter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8412C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265—1.3</w:t>
      </w:r>
      <w:r>
        <w:rPr>
          <w:rFonts w:ascii="Times New Roman" w:hAnsi="Times New Roman"/>
          <w:b/>
          <w:i w:val="false"/>
          <w:color w:val="000000"/>
          <w:sz w:val="22"/>
        </w:rPr>
        <w:t xml:space="preserve">(16) </w:t>
      </w:r>
      <w:r>
        <w:rPr>
          <w:rFonts w:ascii="Times New Roman" w:hAnsi="Times New Roman"/>
          <w:b/>
          <w:i w:val="false"/>
          <w:color w:val="000000"/>
          <w:sz w:val="22"/>
        </w:rPr>
        <w:t xml:space="preserve">Organization, requests, and submissions.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The director is appointed pursuant to Iowa Code section </w:t>
      </w:r>
      <w:hyperlink r:id="rId8">
        <w:r>
          <w:rPr>
            <w:rStyle w:val="Hyperlink"/>
            <w:rFonts w:ascii="Times New Roman" w:hAnsi="Times New Roman"/>
            <w:b w:val="false"/>
            <w:i w:val="false"/>
            <w:color w:val="000000"/>
            <w:sz w:val="22"/>
          </w:rPr>
          <w:t>16.6</w:t>
        </w:r>
      </w:hyperlink>
      <w:r>
        <w:rPr>
          <w:rFonts w:ascii="Times New Roman" w:hAnsi="Times New Roman"/>
          <w:b w:val="false"/>
          <w:i w:val="false"/>
          <w:color w:val="000000"/>
          <w:sz w:val="22"/>
        </w:rPr>
        <w:t xml:space="preserve"> and performs such duties as assigned by the Iowa Code or the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r>
        <w:rPr>
          <w:rFonts w:ascii="Times New Roman" w:hAnsi="Times New Roman"/>
          <w:b w:val="false"/>
          <w:i w:val="false"/>
          <w:color w:val="000000"/>
          <w:sz w:val="22"/>
        </w:rPr>
        <w:t xml:space="preserve">The authority is organized into such divisions as established by statute or the director pursuant to Iowa Code section </w:t>
      </w:r>
      <w:hyperlink r:id="rId9">
        <w:r>
          <w:rPr>
            <w:rStyle w:val="Hyperlink"/>
            <w:rFonts w:ascii="Times New Roman" w:hAnsi="Times New Roman"/>
            <w:b w:val="false"/>
            <w:i w:val="false"/>
            <w:color w:val="000000"/>
            <w:sz w:val="22"/>
          </w:rPr>
          <w:t>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Requests and submissions. </w:t>
      </w:r>
      <w:r>
        <w:rPr>
          <w:rFonts w:ascii="Times New Roman" w:hAnsi="Times New Roman"/>
          <w:b w:val="false"/>
          <w:i w:val="false"/>
          <w:color w:val="000000"/>
          <w:sz w:val="22"/>
        </w:rPr>
        <w:t xml:space="preserve">All official communications, including submissions and requests, may be addressed to the Iowa Finance Authority, 1963 Bell Avenue, Suite 200, Des Moines, Iowa 50315, or to </w:t>
      </w:r>
      <w:hyperlink r:id="rId10">
        <w:r>
          <w:rPr>
            <w:rStyle w:val="Hyperlink"/>
            <w:rFonts w:ascii="Times New Roman" w:hAnsi="Times New Roman"/>
            <w:b w:val="false"/>
            <w:i w:val="false"/>
            <w:color w:val="000000"/>
            <w:sz w:val="22"/>
            <w:u w:val="single"/>
          </w:rPr>
          <w:t>ifafyi@iowafinance.com</w:t>
        </w:r>
      </w:hyperlink>
      <w:r>
        <w:rPr>
          <w:rFonts w:ascii="Times New Roman" w:hAnsi="Times New Roman"/>
          <w:b w:val="false"/>
          <w:i w:val="false"/>
          <w:color w:val="000000"/>
          <w:sz w:val="22"/>
        </w:rPr>
        <w:t xml:space="preserve">. The authority’s website address is </w:t>
      </w:r>
      <w:hyperlink r:id="rId11">
        <w:r>
          <w:rPr>
            <w:rStyle w:val="Hyperlink"/>
            <w:rFonts w:ascii="Times New Roman" w:hAnsi="Times New Roman"/>
            <w:b w:val="false"/>
            <w:i w:val="false"/>
            <w:color w:val="000000"/>
            <w:sz w:val="22"/>
            <w:u w:val="single"/>
          </w:rPr>
          <w:t>www.iowafinance.com</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8412C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5/11/77, Notice 4/6/77—published 6/1/77, effective 7/6/77]</w:t>
      </w:r>
    </w:p>
    <w:p>
      <w:pPr>
        <w:spacing w:before="0" w:after="0"/>
        <w:ind w:left="120"/>
        <w:jc w:val="center"/>
      </w:pPr>
      <w:r>
        <w:rPr>
          <w:rFonts w:ascii="Times New Roman" w:hAnsi="Times New Roman"/>
          <w:b w:val="false"/>
          <w:i w:val="false"/>
          <w:color w:val="000000"/>
          <w:sz w:val="21"/>
        </w:rPr>
        <w:t>[Filed emergency 6/11/82—published 7/7/82, effective 6/11/82]</w:t>
      </w:r>
    </w:p>
    <w:p>
      <w:pPr>
        <w:spacing w:before="0" w:after="0"/>
        <w:ind w:left="120"/>
        <w:jc w:val="center"/>
      </w:pPr>
      <w:r>
        <w:rPr>
          <w:rFonts w:ascii="Times New Roman" w:hAnsi="Times New Roman"/>
          <w:b w:val="false"/>
          <w:i w:val="false"/>
          <w:color w:val="000000"/>
          <w:sz w:val="21"/>
        </w:rPr>
        <w:t>[Filed 12/17/82, Notice 7/7/82—published 1/5/83, effective 2/9/83]</w:t>
      </w:r>
    </w:p>
    <w:p>
      <w:pPr>
        <w:spacing w:before="0" w:after="0"/>
        <w:ind w:left="120"/>
        <w:jc w:val="center"/>
      </w:pPr>
      <w:r>
        <w:rPr>
          <w:rFonts w:ascii="Times New Roman" w:hAnsi="Times New Roman"/>
          <w:b w:val="false"/>
          <w:i w:val="false"/>
          <w:color w:val="000000"/>
          <w:sz w:val="21"/>
        </w:rPr>
        <w:t>[Filed emergency 12/23/83—published 1/18/84, effective 12/23/83]</w:t>
      </w:r>
    </w:p>
    <w:p>
      <w:pPr>
        <w:spacing w:before="0" w:after="0"/>
        <w:ind w:left="120"/>
        <w:jc w:val="center"/>
      </w:pPr>
      <w:r>
        <w:rPr>
          <w:rFonts w:ascii="Times New Roman" w:hAnsi="Times New Roman"/>
          <w:b w:val="false"/>
          <w:i w:val="false"/>
          <w:color w:val="000000"/>
          <w:sz w:val="21"/>
        </w:rPr>
        <w:t>[Filed emergency 6/28/84—published 7/18/84, effective 7/1/84]</w:t>
      </w:r>
    </w:p>
    <w:p>
      <w:pPr>
        <w:spacing w:before="0" w:after="0"/>
        <w:ind w:left="120"/>
        <w:jc w:val="center"/>
      </w:pPr>
      <w:r>
        <w:rPr>
          <w:rFonts w:ascii="Times New Roman" w:hAnsi="Times New Roman"/>
          <w:b w:val="false"/>
          <w:i w:val="false"/>
          <w:color w:val="000000"/>
          <w:sz w:val="21"/>
        </w:rPr>
        <w:t>[Filed emergency 7/26/85—published 8/14/85, effective 7/26/85]</w:t>
      </w:r>
    </w:p>
    <w:p>
      <w:pPr>
        <w:spacing w:before="0" w:after="0"/>
        <w:ind w:left="120"/>
        <w:jc w:val="center"/>
      </w:pPr>
      <w:r>
        <w:rPr>
          <w:rFonts w:ascii="Times New Roman" w:hAnsi="Times New Roman"/>
          <w:b w:val="false"/>
          <w:i w:val="false"/>
          <w:color w:val="000000"/>
          <w:sz w:val="21"/>
        </w:rPr>
        <w:t>[Filed 3/19/91, Notice 10/17/90—published 4/3/91, effective 5/8/91]</w:t>
      </w:r>
    </w:p>
    <w:p>
      <w:pPr>
        <w:spacing w:before="0" w:after="0"/>
        <w:ind w:left="120"/>
        <w:jc w:val="center"/>
      </w:pPr>
      <w:r>
        <w:rPr>
          <w:rFonts w:ascii="Times New Roman" w:hAnsi="Times New Roman"/>
          <w:b w:val="false"/>
          <w:i w:val="false"/>
          <w:color w:val="000000"/>
          <w:sz w:val="21"/>
        </w:rPr>
        <w:t>[Filed emergency 9/3/99 after Notice 4/21/99—published 9/22/99, effective 9/3/99]</w:t>
      </w:r>
    </w:p>
    <w:p>
      <w:pPr>
        <w:spacing w:before="0" w:after="0"/>
        <w:ind w:left="120"/>
        <w:jc w:val="center"/>
      </w:pPr>
      <w:r>
        <w:rPr>
          <w:rFonts w:ascii="Times New Roman" w:hAnsi="Times New Roman"/>
          <w:b w:val="false"/>
          <w:i w:val="false"/>
          <w:color w:val="000000"/>
          <w:sz w:val="21"/>
        </w:rPr>
        <w:t>[Filed emergency 7/14/00 after Notice 5/3/00—published 8/9/00, effective 7/14/00]</w:t>
      </w:r>
    </w:p>
    <w:p>
      <w:pPr>
        <w:spacing w:before="0" w:after="0"/>
        <w:ind w:left="120"/>
        <w:jc w:val="center"/>
      </w:pPr>
      <w:r>
        <w:rPr>
          <w:rFonts w:ascii="Times New Roman" w:hAnsi="Times New Roman"/>
          <w:b w:val="false"/>
          <w:i w:val="false"/>
          <w:color w:val="000000"/>
          <w:sz w:val="21"/>
        </w:rPr>
        <w:t>[Filed 6/8/01, Notice 4/4/01—published 6/27/01, effective 8/1/01]</w:t>
      </w:r>
    </w:p>
    <w:p>
      <w:pPr>
        <w:spacing w:before="0" w:after="0"/>
        <w:ind w:left="120"/>
        <w:jc w:val="center"/>
      </w:pPr>
      <w:r>
        <w:rPr>
          <w:rFonts w:ascii="Times New Roman" w:hAnsi="Times New Roman"/>
          <w:b w:val="false"/>
          <w:i w:val="false"/>
          <w:color w:val="000000"/>
          <w:sz w:val="21"/>
        </w:rPr>
        <w:t>[Filed 11/6/03, Notice 9/3/03—published 11/26/03, effective 12/31/03]</w:t>
      </w:r>
    </w:p>
    <w:p>
      <w:pPr>
        <w:spacing w:before="0" w:after="0"/>
        <w:ind w:left="120"/>
        <w:jc w:val="center"/>
      </w:pPr>
      <w:r>
        <w:rPr>
          <w:rFonts w:ascii="Times New Roman" w:hAnsi="Times New Roman"/>
          <w:b w:val="false"/>
          <w:i w:val="false"/>
          <w:color w:val="000000"/>
          <w:sz w:val="21"/>
        </w:rPr>
        <w:t>[Filed ARC 1944C</w:t>
      </w:r>
      <w:r>
        <w:rPr>
          <w:rFonts w:ascii="Times New Roman" w:hAnsi="Times New Roman"/>
          <w:b w:val="false"/>
          <w:i w:val="false"/>
          <w:color w:val="000000"/>
          <w:sz w:val="21"/>
        </w:rPr>
        <w:t xml:space="preserve"> (Notice ARC 1764C, IAB 12/10/14)</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5094C</w:t>
      </w:r>
      <w:r>
        <w:rPr>
          <w:rFonts w:ascii="Times New Roman" w:hAnsi="Times New Roman"/>
          <w:b w:val="false"/>
          <w:i w:val="false"/>
          <w:color w:val="000000"/>
          <w:sz w:val="21"/>
        </w:rPr>
        <w:t xml:space="preserve"> (Notice ARC 4959C, IAB 3/11/20)</w:t>
      </w:r>
      <w:r>
        <w:rPr>
          <w:rFonts w:ascii="Times New Roman" w:hAnsi="Times New Roman"/>
          <w:b w:val="false"/>
          <w:i w:val="false"/>
          <w:color w:val="000000"/>
          <w:sz w:val="21"/>
        </w:rPr>
        <w:t>, IAB 7/15/20, effective 8/19/20]</w:t>
      </w:r>
    </w:p>
    <w:p>
      <w:pPr>
        <w:spacing w:before="0" w:after="0"/>
        <w:ind w:left="120"/>
        <w:jc w:val="center"/>
      </w:pPr>
      <w:r>
        <w:rPr>
          <w:rFonts w:ascii="Times New Roman" w:hAnsi="Times New Roman"/>
          <w:b w:val="false"/>
          <w:i w:val="false"/>
          <w:color w:val="000000"/>
          <w:sz w:val="21"/>
        </w:rPr>
        <w:t>[Filed ARC 5643C</w:t>
      </w:r>
      <w:r>
        <w:rPr>
          <w:rFonts w:ascii="Times New Roman" w:hAnsi="Times New Roman"/>
          <w:b w:val="false"/>
          <w:i w:val="false"/>
          <w:color w:val="000000"/>
          <w:sz w:val="21"/>
        </w:rPr>
        <w:t xml:space="preserve"> (Notice ARC 5414C, IAB 2/10/21)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[Filed ARC 8412C</w:t>
      </w:r>
      <w:r>
        <w:rPr>
          <w:rFonts w:ascii="Times New Roman" w:hAnsi="Times New Roman"/>
          <w:b w:val="false"/>
          <w:i w:val="false"/>
          <w:color w:val="000000"/>
          <w:sz w:val="21"/>
        </w:rPr>
        <w:t xml:space="preserve"> (Notice ARC 8180C, IAB 8/7/24)</w:t>
      </w:r>
      <w:r>
        <w:rPr>
          <w:rFonts w:ascii="Times New Roman" w:hAnsi="Times New Roman"/>
          <w:b w:val="false"/>
          <w:i w:val="false"/>
          <w:color w:val="000000"/>
          <w:sz w:val="21"/>
        </w:rPr>
        <w:t>, IAB 11/27/24, effective 1/1/25]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2.pdf" Type="http://schemas.openxmlformats.org/officeDocument/2006/relationships/hyperlink" Id="rId5"/>
    <Relationship TargetMode="External" Target="https://www.legis.iowa.gov/docs/ico/chapter/16.2.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16.6.pdf" Type="http://schemas.openxmlformats.org/officeDocument/2006/relationships/hyperlink" Id="rId8"/>
    <Relationship TargetMode="External" Target="https://www.legis.iowa.gov/docs/ico/chapter/16.6.pdf" Type="http://schemas.openxmlformats.org/officeDocument/2006/relationships/hyperlink" Id="rId9"/>
    <Relationship TargetMode="External" Target="mailto:ifafyi@iowafinance.com" Type="http://schemas.openxmlformats.org/officeDocument/2006/relationships/hyperlink" Id="rId10"/>
    <Relationship TargetMode="External" Target="http://www.iowafinance.com" Type="http://schemas.openxmlformats.org/officeDocument/2006/relationships/hyperlink" Id="rId11"/>
    <Relationship TargetMode="External" Target="https://www.legis.iowa.gov/docs/ico/chapter/17A.3.pdf" Type="http://schemas.openxmlformats.org/officeDocument/2006/relationships/hyperlink" Id="rId12"/>
    <Relationship TargetMode="External" Target="https://www.legis.iowa.gov/docs/ico/chapter/16.2.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