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 xml:space="preserve">BOARD PROCEEDINGS ON PETITIONS FOR INVOLUNTARY BOUNDARY </w:t>
      </w:r>
      <w:r>
        <w:br/>
      </w:r>
      <w:r>
        <w:rPr>
          <w:rFonts w:ascii="Times New Roman" w:hAnsi="Times New Roman"/>
          <w:b w:val="false"/>
          <w:i w:val="false"/>
          <w:color w:val="000000"/>
          <w:sz w:val="21"/>
        </w:rPr>
        <w:t>CHANGE AFTER COMMITTEE APPROVAL</w:t>
      </w:r>
    </w:p>
    <w:p>
      <w:pPr>
        <w:spacing w:before="0" w:after="0"/>
        <w:ind w:left="120"/>
        <w:jc w:val="center"/>
      </w:pPr>
      <w:r>
        <w:rPr>
          <w:rFonts w:ascii="Times New Roman" w:hAnsi="Times New Roman"/>
          <w:b w:val="false"/>
          <w:i w:val="false"/>
          <w:color w:val="000000"/>
          <w:sz w:val="14"/>
        </w:rPr>
        <w:t>[Prior to 1/9/91, City Development Board[220] Ch 4]</w:t>
      </w:r>
    </w:p>
    <w:p>
      <w:pPr>
        <w:spacing w:before="0" w:after="0"/>
        <w:ind w:left="120"/>
        <w:jc w:val="center"/>
      </w:pPr>
      <w:r>
        <w:rPr>
          <w:rFonts w:ascii="Times New Roman" w:hAnsi="Times New Roman"/>
          <w:b w:val="false"/>
          <w:i w:val="false"/>
          <w:color w:val="000000"/>
          <w:sz w:val="14"/>
        </w:rPr>
        <w:t>[Prior to 12/11/02, 263—Ch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263—10.1</w:t>
      </w:r>
      <w:r>
        <w:rPr>
          <w:rFonts w:ascii="Times New Roman" w:hAnsi="Times New Roman"/>
          <w:b/>
          <w:i w:val="false"/>
          <w:color w:val="000000"/>
          <w:sz w:val="22"/>
        </w:rPr>
        <w:t xml:space="preserve">(368) </w:t>
      </w:r>
      <w:r>
        <w:rPr>
          <w:rFonts w:ascii="Times New Roman" w:hAnsi="Times New Roman"/>
          <w:b/>
          <w:i w:val="false"/>
          <w:color w:val="000000"/>
          <w:sz w:val="22"/>
        </w:rPr>
        <w:t xml:space="preserve">Election. </w:t>
      </w:r>
      <w:r>
        <w:rPr>
          <w:rFonts w:ascii="Times New Roman" w:hAnsi="Times New Roman"/>
          <w:b w:val="false"/>
          <w:i w:val="false"/>
          <w:color w:val="000000"/>
          <w:sz w:val="22"/>
        </w:rPr>
        <w:t xml:space="preserve">If a petition or plan is approved, the board shall submit the proposal at an election held pursuant to Iowa Code section </w:t>
      </w:r>
      <w:hyperlink r:id="rId5">
        <w:r>
          <w:rPr>
            <w:rStyle w:val="Hyperlink"/>
            <w:rFonts w:ascii="Times New Roman" w:hAnsi="Times New Roman"/>
            <w:b w:val="false"/>
            <w:i w:val="false"/>
            <w:color w:val="000000"/>
            <w:sz w:val="22"/>
          </w:rPr>
          <w:t>368.19</w:t>
        </w:r>
      </w:hyperlink>
      <w:r>
        <w:rPr>
          <w:rFonts w:ascii="Times New Roman" w:hAnsi="Times New Roman"/>
          <w:b w:val="false"/>
          <w:i w:val="false"/>
          <w:color w:val="000000"/>
          <w:sz w:val="22"/>
        </w:rPr>
        <w:t xml:space="preserve">, regardless of appeal or applications for rehearing filed pursuant to rule </w:t>
      </w:r>
      <w:hyperlink r:id="rId6">
        <w:r>
          <w:rPr>
            <w:rStyle w:val="Hyperlink"/>
            <w:rFonts w:ascii="Times New Roman" w:hAnsi="Times New Roman"/>
            <w:b w:val="false"/>
            <w:i w:val="false"/>
            <w:color w:val="000000"/>
            <w:sz w:val="22"/>
          </w:rPr>
          <w:t>263—9.13</w:t>
        </w:r>
      </w:hyperlink>
      <w:r>
        <w:rPr>
          <w:rFonts w:ascii="Times New Roman" w:hAnsi="Times New Roman"/>
          <w:b w:val="false"/>
          <w:i w:val="false"/>
          <w:color w:val="000000"/>
          <w:sz w:val="22"/>
        </w:rPr>
        <w:t xml:space="preserve">(368).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263—10.2</w:t>
      </w:r>
      <w:r>
        <w:rPr>
          <w:rFonts w:ascii="Times New Roman" w:hAnsi="Times New Roman"/>
          <w:b/>
          <w:i w:val="false"/>
          <w:color w:val="000000"/>
          <w:sz w:val="22"/>
        </w:rPr>
        <w:t xml:space="preserve">(368) </w:t>
      </w:r>
      <w:r>
        <w:rPr>
          <w:rFonts w:ascii="Times New Roman" w:hAnsi="Times New Roman"/>
          <w:b/>
          <w:i w:val="false"/>
          <w:color w:val="000000"/>
          <w:sz w:val="22"/>
        </w:rPr>
        <w:t xml:space="preserve">Final order. </w:t>
      </w:r>
      <w:r>
        <w:rPr>
          <w:rFonts w:ascii="Times New Roman" w:hAnsi="Times New Roman"/>
          <w:b w:val="false"/>
          <w:i w:val="false"/>
          <w:color w:val="000000"/>
          <w:sz w:val="22"/>
        </w:rPr>
        <w:t xml:space="preserve">The board will issue an order stating the boundary change is complete in conjunction with the procedure after approval specified in Iowa Code section </w:t>
      </w:r>
      <w:hyperlink r:id="rId7">
        <w:r>
          <w:rPr>
            <w:rStyle w:val="Hyperlink"/>
            <w:rFonts w:ascii="Times New Roman" w:hAnsi="Times New Roman"/>
            <w:b w:val="false"/>
            <w:i w:val="false"/>
            <w:color w:val="000000"/>
            <w:sz w:val="22"/>
          </w:rPr>
          <w:t>368.20</w:t>
        </w:r>
      </w:hyperlink>
      <w:r>
        <w:rPr>
          <w:rFonts w:ascii="Times New Roman" w:hAnsi="Times New Roman"/>
          <w:b w:val="false"/>
          <w:i w:val="false"/>
          <w:color w:val="000000"/>
          <w:sz w:val="22"/>
        </w:rPr>
        <w:t xml:space="preserve"> and include such order with documents filed or recorded.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263—10.3</w:t>
      </w:r>
      <w:r>
        <w:rPr>
          <w:rFonts w:ascii="Times New Roman" w:hAnsi="Times New Roman"/>
          <w:b/>
          <w:i w:val="false"/>
          <w:color w:val="000000"/>
          <w:sz w:val="22"/>
        </w:rPr>
        <w:t xml:space="preserve">(368) </w:t>
      </w:r>
      <w:r>
        <w:rPr>
          <w:rFonts w:ascii="Times New Roman" w:hAnsi="Times New Roman"/>
          <w:b/>
          <w:i w:val="false"/>
          <w:color w:val="000000"/>
          <w:sz w:val="22"/>
        </w:rPr>
        <w:t xml:space="preserve">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The record of an involuntary boundary adjustment proceeding shall include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original petition or plan and any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Proofs of service and publication of required public hearing notices;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pleadings filed with the board and committee and any answers or rulings on the pleadings;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public hearing transcript and all evidence received at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briefs and documents filed on the board or committee by parties to the proceedings and all other filings made by those not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Public documents referenced by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committee’s findings of fact, conclusions of law and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board’s election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Certification and proof of publication of election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board’s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The record shall be opened when a petition is filed with the board and shall be closed when the board has issued its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263—10.4</w:t>
      </w:r>
      <w:r>
        <w:rPr>
          <w:rFonts w:ascii="Times New Roman" w:hAnsi="Times New Roman"/>
          <w:b/>
          <w:i w:val="false"/>
          <w:color w:val="000000"/>
          <w:sz w:val="22"/>
        </w:rPr>
        <w:t xml:space="preserve">(368)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appeal is filed pursuant to Iowa Code section </w:t>
      </w:r>
      <w:hyperlink r:id="rId8">
        <w:r>
          <w:rPr>
            <w:rStyle w:val="Hyperlink"/>
            <w:rFonts w:ascii="Times New Roman" w:hAnsi="Times New Roman"/>
            <w:b w:val="false"/>
            <w:i w:val="false"/>
            <w:color w:val="000000"/>
            <w:sz w:val="22"/>
          </w:rPr>
          <w:t>368.22</w:t>
        </w:r>
      </w:hyperlink>
      <w:r>
        <w:rPr>
          <w:rFonts w:ascii="Times New Roman" w:hAnsi="Times New Roman"/>
          <w:b w:val="false"/>
          <w:i w:val="false"/>
          <w:color w:val="000000"/>
          <w:sz w:val="22"/>
        </w:rPr>
        <w:t>, the appellant shall notify the board and provide a copy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Within 30 days after the filing of the petition, the board shall transmit to the reviewing court the original or a certified copy of the entire record of the case that is the subject of the petition. By stipulation of all parties to the review proceedings, the record of such a case may be shortened.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263—10.5</w:t>
      </w:r>
      <w:r>
        <w:rPr>
          <w:rFonts w:ascii="Times New Roman" w:hAnsi="Times New Roman"/>
          <w:b/>
          <w:i w:val="false"/>
          <w:color w:val="000000"/>
          <w:sz w:val="22"/>
        </w:rPr>
        <w:t xml:space="preserve">(368) </w:t>
      </w:r>
      <w:r>
        <w:rPr>
          <w:rFonts w:ascii="Times New Roman" w:hAnsi="Times New Roman"/>
          <w:b/>
          <w:i w:val="false"/>
          <w:color w:val="000000"/>
          <w:sz w:val="22"/>
        </w:rPr>
        <w:t xml:space="preserve">Board supervision of proposal execution. </w:t>
      </w:r>
      <w:r>
        <w:rPr>
          <w:rFonts w:ascii="Times New Roman" w:hAnsi="Times New Roman"/>
          <w:b w:val="false"/>
          <w:i w:val="false"/>
          <w:color w:val="000000"/>
          <w:sz w:val="22"/>
        </w:rPr>
        <w:t>The board shall proceed accordingly in the following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Discontinuance. </w:t>
      </w:r>
      <w:r>
        <w:rPr>
          <w:rFonts w:ascii="Times New Roman" w:hAnsi="Times New Roman"/>
          <w:b w:val="false"/>
          <w:i w:val="false"/>
          <w:color w:val="000000"/>
          <w:sz w:val="22"/>
        </w:rPr>
        <w:t xml:space="preserve">The board will supervise discontinuance of a city pursuant to Iowa Code section </w:t>
      </w:r>
      <w:hyperlink r:id="rId9">
        <w:r>
          <w:rPr>
            <w:rStyle w:val="Hyperlink"/>
            <w:rFonts w:ascii="Times New Roman" w:hAnsi="Times New Roman"/>
            <w:b w:val="false"/>
            <w:i w:val="false"/>
            <w:color w:val="000000"/>
            <w:sz w:val="22"/>
          </w:rPr>
          <w:t>368.21</w:t>
        </w:r>
      </w:hyperlink>
      <w:r>
        <w:rPr>
          <w:rFonts w:ascii="Times New Roman" w:hAnsi="Times New Roman"/>
          <w:b w:val="false"/>
          <w:i w:val="false"/>
          <w:color w:val="000000"/>
          <w:sz w:val="22"/>
        </w:rPr>
        <w:t>. The board shall take control of all city balances, property, and records during the six-month period following the last notice of discontinuance published by the board. Upon the close of the six-month period, the board shall determine the extent of any unpaid allowed claims and such determination shall be verified by a certified public accountant or by the state auditor. In the case of unpaid allowed claims, the board shall approve payment from the discontinued city’s account or shall direct the appropriate governing body to levy the necessary taxes.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Boundary adjustment. </w:t>
      </w:r>
      <w:r>
        <w:rPr>
          <w:rFonts w:ascii="Times New Roman" w:hAnsi="Times New Roman"/>
          <w:b w:val="false"/>
          <w:i w:val="false"/>
          <w:color w:val="000000"/>
          <w:sz w:val="22"/>
        </w:rPr>
        <w:t>The board may, upon request of the applicable governing bodies, provide advisory assistance in implementation of an annexation, severance, or consolidation.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 xml:space="preserve">After a consolidation has been approved in an election held pursuant to Iowa Code section </w:t>
      </w:r>
      <w:hyperlink r:id="rId10">
        <w:r>
          <w:rPr>
            <w:rStyle w:val="Hyperlink"/>
            <w:rFonts w:ascii="Times New Roman" w:hAnsi="Times New Roman"/>
            <w:b w:val="false"/>
            <w:i w:val="false"/>
            <w:color w:val="000000"/>
            <w:sz w:val="22"/>
          </w:rPr>
          <w:t>368.19</w:t>
        </w:r>
      </w:hyperlink>
      <w:r>
        <w:rPr>
          <w:rFonts w:ascii="Times New Roman" w:hAnsi="Times New Roman"/>
          <w:b w:val="false"/>
          <w:i w:val="false"/>
          <w:color w:val="000000"/>
          <w:sz w:val="22"/>
        </w:rPr>
        <w:t xml:space="preserve">, the board may authorize the cities to continue to operate as individual cities until an election of a new city council has been held and the result certified. The election of a new city council shall be held within 90 days of the date of the appeal period authorized by Iowa Code section </w:t>
      </w:r>
      <w:hyperlink r:id="rId11">
        <w:r>
          <w:rPr>
            <w:rStyle w:val="Hyperlink"/>
            <w:rFonts w:ascii="Times New Roman" w:hAnsi="Times New Roman"/>
            <w:b w:val="false"/>
            <w:i w:val="false"/>
            <w:color w:val="000000"/>
            <w:sz w:val="22"/>
          </w:rPr>
          <w:t>368.22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and chapter </w:t>
      </w:r>
      <w:hyperlink r:id="rId13">
        <w:r>
          <w:rPr>
            <w:rStyle w:val="Hyperlink"/>
            <w:rFonts w:ascii="Times New Roman" w:hAnsi="Times New Roman"/>
            <w:b w:val="false"/>
            <w:i w:val="false"/>
            <w:color w:val="000000"/>
            <w:sz w:val="22"/>
          </w:rPr>
          <w:t>368</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8/16/73, amended 9/12/73, 11/13/74]</w:t>
      </w:r>
    </w:p>
    <w:p>
      <w:pPr>
        <w:spacing w:before="0" w:after="0"/>
        <w:ind w:left="120"/>
        <w:jc w:val="center"/>
      </w:pPr>
      <w:r>
        <w:rPr>
          <w:rFonts w:ascii="Times New Roman" w:hAnsi="Times New Roman"/>
          <w:b w:val="false"/>
          <w:i w:val="false"/>
          <w:color w:val="000000"/>
          <w:sz w:val="21"/>
        </w:rPr>
        <w:t>[Filed 10/29/75, Notice 7/14/75—published 11/17/75, effective 12/22/75]</w:t>
      </w:r>
    </w:p>
    <w:p>
      <w:pPr>
        <w:spacing w:before="0" w:after="0"/>
        <w:ind w:left="120"/>
        <w:jc w:val="center"/>
      </w:pPr>
      <w:r>
        <w:rPr>
          <w:rFonts w:ascii="Times New Roman" w:hAnsi="Times New Roman"/>
          <w:b w:val="false"/>
          <w:i w:val="false"/>
          <w:color w:val="000000"/>
          <w:sz w:val="21"/>
        </w:rPr>
        <w:t>[Filed 7/5/77, Notice 5/18/77—published 7/27/77, effective 8/31/77]</w:t>
      </w:r>
    </w:p>
    <w:p>
      <w:pPr>
        <w:spacing w:before="0" w:after="0"/>
        <w:ind w:left="120"/>
        <w:jc w:val="center"/>
      </w:pPr>
      <w:r>
        <w:rPr>
          <w:rFonts w:ascii="Times New Roman" w:hAnsi="Times New Roman"/>
          <w:b w:val="false"/>
          <w:i w:val="false"/>
          <w:color w:val="000000"/>
          <w:sz w:val="21"/>
        </w:rPr>
        <w:t>[Filed 2/16/78, Notice 1/11/78—published 3/8/78, effective 4/12/78]</w:t>
      </w:r>
    </w:p>
    <w:p>
      <w:pPr>
        <w:spacing w:before="0" w:after="0"/>
        <w:ind w:left="120"/>
        <w:jc w:val="center"/>
      </w:pPr>
      <w:r>
        <w:rPr>
          <w:rFonts w:ascii="Times New Roman" w:hAnsi="Times New Roman"/>
          <w:b w:val="false"/>
          <w:i w:val="false"/>
          <w:color w:val="000000"/>
          <w:sz w:val="21"/>
        </w:rPr>
        <w:t>[Filed 12/19/90, Notice 10/17/90—published 1/9/91, effective 2/13/91]</w:t>
      </w:r>
    </w:p>
    <w:p>
      <w:pPr>
        <w:spacing w:before="0" w:after="0"/>
        <w:ind w:left="120"/>
        <w:jc w:val="center"/>
      </w:pPr>
      <w:r>
        <w:rPr>
          <w:rFonts w:ascii="Times New Roman" w:hAnsi="Times New Roman"/>
          <w:b w:val="false"/>
          <w:i w:val="false"/>
          <w:color w:val="000000"/>
          <w:sz w:val="21"/>
        </w:rPr>
        <w:t>[Filed 11/20/02, Notice 7/10/02—published 12/11/02, effective 1/15/03]</w:t>
      </w:r>
    </w:p>
    <w:p>
      <w:pPr>
        <w:spacing w:before="0" w:after="0"/>
        <w:ind w:left="120"/>
        <w:jc w:val="center"/>
      </w:pPr>
      <w:r>
        <w:rPr>
          <w:rFonts w:ascii="Times New Roman" w:hAnsi="Times New Roman"/>
          <w:b w:val="false"/>
          <w:i w:val="false"/>
          <w:color w:val="000000"/>
          <w:sz w:val="21"/>
        </w:rPr>
        <w:t>[Filed ARC 9278B</w:t>
      </w:r>
      <w:r>
        <w:rPr>
          <w:rFonts w:ascii="Times New Roman" w:hAnsi="Times New Roman"/>
          <w:b w:val="false"/>
          <w:i w:val="false"/>
          <w:color w:val="000000"/>
          <w:sz w:val="21"/>
        </w:rPr>
        <w:t xml:space="preserve"> (Notice ARC 9106B, IAB 9/22/10)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7708C</w:t>
      </w:r>
      <w:r>
        <w:rPr>
          <w:rFonts w:ascii="Times New Roman" w:hAnsi="Times New Roman"/>
          <w:b w:val="false"/>
          <w:i w:val="false"/>
          <w:color w:val="000000"/>
          <w:sz w:val="21"/>
        </w:rPr>
        <w:t xml:space="preserve"> (Notice ARC 7140C,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68.19.pdf" Type="http://schemas.openxmlformats.org/officeDocument/2006/relationships/hyperlink" Id="rId5"/>
    <Relationship TargetMode="External" Target="https://www.legis.iowa.gov/docs/iac/rule/263.9.13.pdf" Type="http://schemas.openxmlformats.org/officeDocument/2006/relationships/hyperlink" Id="rId6"/>
    <Relationship TargetMode="External" Target="https://www.legis.iowa.gov/docs/ico/chapter/368.20.pdf" Type="http://schemas.openxmlformats.org/officeDocument/2006/relationships/hyperlink" Id="rId7"/>
    <Relationship TargetMode="External" Target="https://www.legis.iowa.gov/docs/ico/chapter/368.22.pdf" Type="http://schemas.openxmlformats.org/officeDocument/2006/relationships/hyperlink" Id="rId8"/>
    <Relationship TargetMode="External" Target="https://www.legis.iowa.gov/docs/ico/chapter/368.21.pdf" Type="http://schemas.openxmlformats.org/officeDocument/2006/relationships/hyperlink" Id="rId9"/>
    <Relationship TargetMode="External" Target="https://www.legis.iowa.gov/docs/ico/chapter/368.19.pdf" Type="http://schemas.openxmlformats.org/officeDocument/2006/relationships/hyperlink" Id="rId10"/>
    <Relationship TargetMode="External" Target="https://www.legis.iowa.gov/docs/ico/chapter/368.22.pdf" Type="http://schemas.openxmlformats.org/officeDocument/2006/relationships/hyperlink" Id="rId11"/>
    <Relationship TargetMode="External" Target="https://www.legis.iowa.gov/docs/ico/chapter/17A.19.pdf" Type="http://schemas.openxmlformats.org/officeDocument/2006/relationships/hyperlink" Id="rId12"/>
    <Relationship TargetMode="External" Target="https://www.legis.iowa.gov/docs/ico/chapter/368.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