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81</w:t>
      </w:r>
    </w:p>
    <w:p>
      <w:pPr>
        <w:spacing w:before="0" w:after="0"/>
        <w:ind w:left="120"/>
        <w:jc w:val="center"/>
      </w:pPr>
      <w:r>
        <w:rPr>
          <w:rFonts w:ascii="Times New Roman" w:hAnsi="Times New Roman"/>
          <w:b w:val="false"/>
          <w:i w:val="false"/>
          <w:color w:val="000000"/>
          <w:sz w:val="21"/>
        </w:rPr>
        <w:t>RENEWABLE CHEMICAL PRODUCTION TAX CREDIT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2/14/29</w:t>
      </w:r>
    </w:p>
    <w:p>
      <w:pPr>
        <w:spacing w:before="0" w:after="0"/>
        <w:ind w:left="120"/>
        <w:jc w:val="both"/>
      </w:pPr>
      <w:r>
        <w:rPr>
          <w:rFonts w:ascii="Times New Roman" w:hAnsi="Times New Roman"/>
          <w:b/>
          <w:i w:val="false"/>
          <w:color w:val="000000"/>
          <w:sz w:val="22"/>
        </w:rPr>
        <w:t>261—81.1</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encourage development of the renewable chemicals industry and stimulate job growth using the renewable chemical production tax credit program to incentivize new and existing businesses to produce high-value renewable chemicals in Iowa from biomass feedstock.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7493C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261—81.2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“Authority’s website” </w:t>
      </w:r>
      <w:r>
        <w:rPr>
          <w:rFonts w:ascii="Times New Roman" w:hAnsi="Times New Roman"/>
          <w:b w:val="false"/>
          <w:i w:val="false"/>
          <w:color w:val="000000"/>
          <w:sz w:val="22"/>
        </w:rPr>
        <w:t xml:space="preserve">means the information and related content found at </w:t>
      </w:r>
      <w:hyperlink r:id="rId6">
        <w:r>
          <w:rPr>
            <w:rStyle w:val="Hyperlink"/>
            <w:rFonts w:ascii="Times New Roman" w:hAnsi="Times New Roman"/>
            <w:b w:val="false"/>
            <w:i w:val="false"/>
            <w:color w:val="000000"/>
            <w:sz w:val="22"/>
            <w:u w:val="single"/>
          </w:rPr>
          <w:t>www.iowaeda.com</w:t>
        </w:r>
      </w:hyperlink>
      <w:r>
        <w:rPr>
          <w:rFonts w:ascii="Times New Roman" w:hAnsi="Times New Roman"/>
          <w:b w:val="false"/>
          <w:i w:val="false"/>
          <w:color w:val="000000"/>
          <w:sz w:val="22"/>
        </w:rPr>
        <w:t xml:space="preserve"> and may include integrated content at affiliate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“Biomass feedstock”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15.316(2)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members of the economic development authority board appointed by the governor and in whom the powers of the authority are vested pursuant to Iowa Code section </w:t>
      </w:r>
      <w:hyperlink r:id="rId8">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block chemical”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15.316(3)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2023 Iowa Acts, Senate File 575</w:t>
      </w:r>
      <w:r>
        <w:rPr>
          <w:rFonts w:ascii="Times New Roman" w:hAnsi="Times New Roman"/>
          <w:b w:val="false"/>
          <w:i w:val="false"/>
          <w:color w:val="000000"/>
          <w:sz w:val="22"/>
        </w:rPr>
        <w:t xml:space="preserve">, and also includes benzene, toluene, xylene, ethylbenzene, butanoic acid, hexanoic acid, octanoic acid, pentanoic acid, heptanoic acid, ethylene glycol, and 1,4 butanediol, or such additional molecules as may be included by the authority following the procedure in rule </w:t>
      </w:r>
      <w:hyperlink r:id="rId10">
        <w:r>
          <w:rPr>
            <w:rStyle w:val="Hyperlink"/>
            <w:rFonts w:ascii="Times New Roman" w:hAnsi="Times New Roman"/>
            <w:b w:val="false"/>
            <w:i w:val="false"/>
            <w:color w:val="000000"/>
            <w:sz w:val="22"/>
          </w:rPr>
          <w:t>261—81.8</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business”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15.316(5)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“Pre-eligibility production threshold”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15.316(8)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“Production year” </w:t>
      </w:r>
      <w:r>
        <w:rPr>
          <w:rFonts w:ascii="Times New Roman" w:hAnsi="Times New Roman"/>
          <w:b w:val="false"/>
          <w:i w:val="false"/>
          <w:color w:val="000000"/>
          <w:sz w:val="22"/>
        </w:rPr>
        <w:t>means any calendar year after the year in which the eligible business’s pre-eligibility production threshold was established and in which the eligible business produces renewable chemicals.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renewable chemical production tax credit program administered pursuant to Iowa Code sections </w:t>
      </w:r>
      <w:hyperlink r:id="rId13">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 xml:space="preserve"> through </w:t>
      </w:r>
      <w:hyperlink r:id="rId14">
        <w:r>
          <w:rPr>
            <w:rStyle w:val="Hyperlink"/>
            <w:rFonts w:ascii="Times New Roman" w:hAnsi="Times New Roman"/>
            <w:b w:val="false"/>
            <w:i w:val="false"/>
            <w:color w:val="000000"/>
            <w:sz w:val="22"/>
          </w:rPr>
          <w:t>15.322</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“Renewable chemical”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15.316(10)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7493C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261—81.3</w:t>
      </w:r>
      <w:r>
        <w:rPr>
          <w:rFonts w:ascii="Times New Roman" w:hAnsi="Times New Roman"/>
          <w:b/>
          <w:i w:val="false"/>
          <w:color w:val="000000"/>
          <w:sz w:val="22"/>
        </w:rPr>
        <w:t xml:space="preserve">(15) </w:t>
      </w:r>
      <w:r>
        <w:rPr>
          <w:rFonts w:ascii="Times New Roman" w:hAnsi="Times New Roman"/>
          <w:b/>
          <w:i w:val="false"/>
          <w:color w:val="000000"/>
          <w:sz w:val="22"/>
        </w:rPr>
        <w:t xml:space="preserve">Eligibility requirements. </w:t>
      </w:r>
      <w:r>
        <w:rPr>
          <w:rFonts w:ascii="Times New Roman" w:hAnsi="Times New Roman"/>
          <w:b w:val="false"/>
          <w:i w:val="false"/>
          <w:color w:val="000000"/>
          <w:sz w:val="22"/>
        </w:rPr>
        <w:t xml:space="preserve">To be eligible to receive the renewable chemical production tax credit pursuant to the program, a business shall meet all of the eligibility requirements in Iowa Code section </w:t>
      </w:r>
      <w:hyperlink r:id="rId16">
        <w:r>
          <w:rPr>
            <w:rStyle w:val="Hyperlink"/>
            <w:rFonts w:ascii="Times New Roman" w:hAnsi="Times New Roman"/>
            <w:b w:val="false"/>
            <w:i w:val="false"/>
            <w:color w:val="000000"/>
            <w:sz w:val="22"/>
          </w:rPr>
          <w:t>15.317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7493C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261—81.4</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process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81.4(1)</w:t>
      </w:r>
      <w:r>
        <w:rPr>
          <w:rFonts w:ascii="Times New Roman" w:hAnsi="Times New Roman"/>
          <w:b w:val="false"/>
          <w:i w:val="false"/>
          <w:color w:val="000000"/>
          <w:sz w:val="22"/>
        </w:rPr>
        <w:t> </w:t>
      </w:r>
      <w:r>
        <w:rPr>
          <w:rFonts w:ascii="Times New Roman" w:hAnsi="Times New Roman"/>
          <w:b w:val="false"/>
          <w:i w:val="false"/>
          <w:color w:val="000000"/>
          <w:sz w:val="22"/>
        </w:rPr>
        <w:t>Applications for tax credits may be submitted to the authority electronically by eligible businesses from February 15 to March 15 of each calendar year. The authority may adjust the annual filing window dates under extenuating circumstances and will provide notice of adjustments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shall include all information required by Iowa Code section </w:t>
      </w:r>
      <w:hyperlink r:id="rId17">
        <w:r>
          <w:rPr>
            <w:rStyle w:val="Hyperlink"/>
            <w:rFonts w:ascii="Times New Roman" w:hAnsi="Times New Roman"/>
            <w:b w:val="false"/>
            <w:i w:val="false"/>
            <w:color w:val="000000"/>
            <w:sz w:val="22"/>
          </w:rPr>
          <w:t>15.318(1)</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qualifying building block chemical produced by the eligible business for which the business is claiming a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renewable chemicals produced in the state from biomass feedstock by the eligible business during the calendar year prior to the year in which the business first qualified as an eligible business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city or county where the plant producing renewable chemicals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type of feedstock used to produce the renewable chemicals.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 on which the eligible business organized, expanded or located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reasonably required by the authority in order to establish and verify the amount of the tax credit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81.4(3)</w:t>
      </w:r>
      <w:r>
        <w:rPr>
          <w:rFonts w:ascii="Times New Roman" w:hAnsi="Times New Roman"/>
          <w:b w:val="false"/>
          <w:i w:val="false"/>
          <w:color w:val="000000"/>
          <w:sz w:val="22"/>
        </w:rPr>
        <w:t> </w:t>
      </w:r>
      <w:r>
        <w:rPr>
          <w:rFonts w:ascii="Times New Roman" w:hAnsi="Times New Roman"/>
          <w:b w:val="false"/>
          <w:i w:val="false"/>
          <w:color w:val="000000"/>
          <w:sz w:val="22"/>
        </w:rPr>
        <w:t>Applications will be reviewed and scored on a competitive basis by a review committee established by the authority with relevant expertise and experience. If the authority deems that additional information is needed before reviewing and scoring can be completed, and the authority makes a written request for additional information from the applicant, the applicant must provide the requested information within 30 days of the date that the written request from the authority was made. If an applicant does not provide the requested information within 30 days, the application may be rejected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determined by the authority to be complete and eligible will be reviewed and scored using criteria established by the authority to evaluate the economic impact of an eligible business’s production of renewable chemicals.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81.4(5)</w:t>
      </w:r>
      <w:r>
        <w:rPr>
          <w:rFonts w:ascii="Times New Roman" w:hAnsi="Times New Roman"/>
          <w:b w:val="false"/>
          <w:i w:val="false"/>
          <w:color w:val="000000"/>
          <w:sz w:val="22"/>
        </w:rPr>
        <w:t> </w:t>
      </w:r>
      <w:r>
        <w:rPr>
          <w:rFonts w:ascii="Times New Roman" w:hAnsi="Times New Roman"/>
          <w:b w:val="false"/>
          <w:i w:val="false"/>
          <w:color w:val="000000"/>
          <w:sz w:val="22"/>
        </w:rPr>
        <w:t>The authority will notify an applicant when the applicant has been approved by the director to receive a tax credit.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7493C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261—81.5</w:t>
      </w:r>
      <w:r>
        <w:rPr>
          <w:rFonts w:ascii="Times New Roman" w:hAnsi="Times New Roman"/>
          <w:b/>
          <w:i w:val="false"/>
          <w:color w:val="000000"/>
          <w:sz w:val="22"/>
        </w:rPr>
        <w:t xml:space="preserve">(15) </w:t>
      </w:r>
      <w:r>
        <w:rPr>
          <w:rFonts w:ascii="Times New Roman" w:hAnsi="Times New Roman"/>
          <w:b/>
          <w:i w:val="false"/>
          <w:color w:val="000000"/>
          <w:sz w:val="22"/>
        </w:rPr>
        <w:t xml:space="preserve">Agreement and fees. </w:t>
      </w:r>
      <w:r>
        <w:rPr>
          <w:rFonts w:ascii="Times New Roman" w:hAnsi="Times New Roman"/>
          <w:b w:val="false"/>
          <w:i w:val="false"/>
          <w:color w:val="000000"/>
          <w:sz w:val="22"/>
        </w:rPr>
        <w:t xml:space="preserve">An eligible business approved to receive a tax credit shall enter into an agreement and pay applicable fees pursuant to Iowa Code section </w:t>
      </w:r>
      <w:hyperlink r:id="rId18">
        <w:r>
          <w:rPr>
            <w:rStyle w:val="Hyperlink"/>
            <w:rFonts w:ascii="Times New Roman" w:hAnsi="Times New Roman"/>
            <w:b w:val="false"/>
            <w:i w:val="false"/>
            <w:color w:val="000000"/>
            <w:sz w:val="22"/>
          </w:rPr>
          <w:t>15.318(2)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2023 Iowa Acts, Senate File 575</w:t>
      </w:r>
      <w:r>
        <w:rPr>
          <w:rFonts w:ascii="Times New Roman" w:hAnsi="Times New Roman"/>
          <w:b w:val="false"/>
          <w:i w:val="false"/>
          <w:color w:val="000000"/>
          <w:sz w:val="22"/>
        </w:rPr>
        <w:t>. Eligible businesses must sign the agreement within 60 days of being notified of approval for the tax credit. Upon request by an eligible business, the authority may extend the time period for signing the agreement by an additional 30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7493C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261—81.6</w:t>
      </w:r>
      <w:r>
        <w:rPr>
          <w:rFonts w:ascii="Times New Roman" w:hAnsi="Times New Roman"/>
          <w:b/>
          <w:i w:val="false"/>
          <w:color w:val="000000"/>
          <w:sz w:val="22"/>
        </w:rPr>
        <w:t xml:space="preserve">(15) </w:t>
      </w:r>
      <w:r>
        <w:rPr>
          <w:rFonts w:ascii="Times New Roman" w:hAnsi="Times New Roman"/>
          <w:b/>
          <w:i w:val="false"/>
          <w:color w:val="000000"/>
          <w:sz w:val="22"/>
        </w:rPr>
        <w:t xml:space="preserve">Renewable chemical production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81.6(1)</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tax credit amount.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business that has entered into an agreement pursuant to rule </w:t>
      </w:r>
      <w:hyperlink r:id="rId19">
        <w:r>
          <w:rPr>
            <w:rStyle w:val="Hyperlink"/>
            <w:rFonts w:ascii="Times New Roman" w:hAnsi="Times New Roman"/>
            <w:b w:val="false"/>
            <w:i w:val="false"/>
            <w:color w:val="000000"/>
            <w:sz w:val="22"/>
          </w:rPr>
          <w:t>261—81.5</w:t>
        </w:r>
      </w:hyperlink>
      <w:r>
        <w:rPr>
          <w:rFonts w:ascii="Times New Roman" w:hAnsi="Times New Roman"/>
          <w:b w:val="false"/>
          <w:i w:val="false"/>
          <w:color w:val="000000"/>
          <w:sz w:val="22"/>
        </w:rPr>
        <w:t xml:space="preserve">(15) may be issued a tax credit certificate in an amount calculated as described in Iowa Code section </w:t>
      </w:r>
      <w:hyperlink r:id="rId20">
        <w:r>
          <w:rPr>
            <w:rStyle w:val="Hyperlink"/>
            <w:rFonts w:ascii="Times New Roman" w:hAnsi="Times New Roman"/>
            <w:b w:val="false"/>
            <w:i w:val="false"/>
            <w:color w:val="000000"/>
            <w:sz w:val="22"/>
          </w:rPr>
          <w:t>15.319(1)</w:t>
        </w:r>
      </w:hyperlink>
      <w:r>
        <w:rPr>
          <w:rFonts w:ascii="Times New Roman" w:hAnsi="Times New Roman"/>
          <w:b w:val="false"/>
          <w:i w:val="false"/>
          <w:color w:val="000000"/>
          <w:sz w:val="22"/>
        </w:rPr>
        <w:t>. For example, if an eligible business produced three million pounds of renewable chemicals during calendar year 2016 and first became an eligible business under this chapter in calendar year 2017, the pre-eligibility production threshold for the business is three million pounds. If the same eligible business produced ten million pounds of renewable chemicals during calendar year 2017, the eligible business could receive a tax credit for the amount produced over the pre-eligibility production threshold, which in this example equals seven million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business has facilities located in more than one state, only those renewable chemicals produced at facilities physically located in the state of Iowa may be counted for the purpose of calculating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same eligible business has an ownership or equity interest in multiple facilities at which renewable chemicals are produced, the facilities under common ownership will be considered a single eligible business for purposes of calculating the maximum tax credit amount. In calculating the maximum tax credit amount, only the pro rata share of each eligible business’s ownership in a facility will be attributed to that eligible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amount of tax credit that may be issued under the program to an eligible business for the production of renewable chemicals in a calendar year shall not exceed the amount authorized by Iowa Code section </w:t>
      </w:r>
      <w:hyperlink r:id="rId21">
        <w:r>
          <w:rPr>
            <w:rStyle w:val="Hyperlink"/>
            <w:rFonts w:ascii="Times New Roman" w:hAnsi="Times New Roman"/>
            <w:b w:val="false"/>
            <w:i w:val="false"/>
            <w:color w:val="000000"/>
            <w:sz w:val="22"/>
          </w:rPr>
          <w:t>15.318(3)</w:t>
        </w:r>
      </w:hyperlink>
      <w:r>
        <w:rPr>
          <w:rFonts w:ascii="Times New Roman" w:hAnsi="Times New Roman"/>
          <w:b w:val="false"/>
          <w:i/>
          <w:color w:val="000000"/>
          <w:sz w:val="22"/>
        </w:rPr>
        <w:t>“a”</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2023 Iowa Acts, Senate File 575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81.6(2)</w:t>
      </w:r>
      <w:r>
        <w:rPr>
          <w:rFonts w:ascii="Times New Roman" w:hAnsi="Times New Roman"/>
          <w:b w:val="false"/>
          <w:i w:val="false"/>
          <w:color w:val="000000"/>
          <w:sz w:val="22"/>
        </w:rPr>
        <w:t> </w:t>
      </w:r>
      <w:r>
        <w:rPr>
          <w:rFonts w:ascii="Times New Roman" w:hAnsi="Times New Roman"/>
          <w:b w:val="false"/>
          <w:i/>
          <w:color w:val="000000"/>
          <w:sz w:val="22"/>
        </w:rPr>
        <w:t xml:space="preserve">Eligible business only. </w:t>
      </w:r>
      <w:r>
        <w:rPr>
          <w:rFonts w:ascii="Times New Roman" w:hAnsi="Times New Roman"/>
          <w:b w:val="false"/>
          <w:i w:val="false"/>
          <w:color w:val="000000"/>
          <w:sz w:val="22"/>
        </w:rPr>
        <w:t xml:space="preserve">An eligible business shall not receive a tax credit for renewable chemicals produced before the date the business first qualified as an eligible business pursuant to rule </w:t>
      </w:r>
      <w:hyperlink r:id="rId22">
        <w:r>
          <w:rPr>
            <w:rStyle w:val="Hyperlink"/>
            <w:rFonts w:ascii="Times New Roman" w:hAnsi="Times New Roman"/>
            <w:b w:val="false"/>
            <w:i w:val="false"/>
            <w:color w:val="000000"/>
            <w:sz w:val="22"/>
          </w:rPr>
          <w:t>261—81.3</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81.6(3)</w:t>
      </w:r>
      <w:r>
        <w:rPr>
          <w:rFonts w:ascii="Times New Roman" w:hAnsi="Times New Roman"/>
          <w:b w:val="false"/>
          <w:i w:val="false"/>
          <w:color w:val="000000"/>
          <w:sz w:val="22"/>
        </w:rPr>
        <w:t> </w:t>
      </w:r>
      <w:r>
        <w:rPr>
          <w:rFonts w:ascii="Times New Roman" w:hAnsi="Times New Roman"/>
          <w:b w:val="false"/>
          <w:i/>
          <w:color w:val="000000"/>
          <w:sz w:val="22"/>
        </w:rPr>
        <w:t xml:space="preserve">Maximum number of credits. </w:t>
      </w:r>
      <w:r>
        <w:rPr>
          <w:rFonts w:ascii="Times New Roman" w:hAnsi="Times New Roman"/>
          <w:b w:val="false"/>
          <w:i w:val="false"/>
          <w:color w:val="000000"/>
          <w:sz w:val="22"/>
        </w:rPr>
        <w:t xml:space="preserve">An eligible business shall not receive more tax credit certificates under the program than specified in Iowa Code section </w:t>
      </w:r>
      <w:hyperlink r:id="rId23">
        <w:r>
          <w:rPr>
            <w:rStyle w:val="Hyperlink"/>
            <w:rFonts w:ascii="Times New Roman" w:hAnsi="Times New Roman"/>
            <w:b w:val="false"/>
            <w:i w:val="false"/>
            <w:color w:val="000000"/>
            <w:sz w:val="22"/>
          </w:rPr>
          <w:t>15.318(3)</w:t>
        </w:r>
      </w:hyperlink>
      <w:r>
        <w:rPr>
          <w:rFonts w:ascii="Times New Roman" w:hAnsi="Times New Roman"/>
          <w:b w:val="false"/>
          <w:i/>
          <w:color w:val="000000"/>
          <w:sz w:val="22"/>
        </w:rPr>
        <w:t>“d”</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2023 Iowa Acts, Senate File 575</w:t>
      </w:r>
      <w:r>
        <w:rPr>
          <w:rFonts w:ascii="Times New Roman" w:hAnsi="Times New Roman"/>
          <w:b w:val="false"/>
          <w:i w:val="false"/>
          <w:color w:val="000000"/>
          <w:sz w:val="22"/>
        </w:rPr>
        <w:t>. Each tax credit must be applied for separately, and each application will be reviewed independently of past tax credits. Receipt of a tax credit in one year does not guarantee receipt of a tax credit in a subsequent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81.6(4)</w:t>
      </w:r>
      <w:r>
        <w:rPr>
          <w:rFonts w:ascii="Times New Roman" w:hAnsi="Times New Roman"/>
          <w:b w:val="false"/>
          <w:i w:val="false"/>
          <w:color w:val="000000"/>
          <w:sz w:val="22"/>
        </w:rPr>
        <w:t> </w:t>
      </w:r>
      <w:r>
        <w:rPr>
          <w:rFonts w:ascii="Times New Roman" w:hAnsi="Times New Roman"/>
          <w:b w:val="false"/>
          <w:i/>
          <w:color w:val="000000"/>
          <w:sz w:val="22"/>
        </w:rPr>
        <w:t xml:space="preserve">Termination and repayment. </w:t>
      </w:r>
      <w:r>
        <w:rPr>
          <w:rFonts w:ascii="Times New Roman" w:hAnsi="Times New Roman"/>
          <w:b w:val="false"/>
          <w:i w:val="false"/>
          <w:color w:val="000000"/>
          <w:sz w:val="22"/>
        </w:rPr>
        <w:t xml:space="preserve">Tax credits may be reduced, terminated, or rescinded pursuant to Iowa Code section </w:t>
      </w:r>
      <w:hyperlink r:id="rId24">
        <w:r>
          <w:rPr>
            <w:rStyle w:val="Hyperlink"/>
            <w:rFonts w:ascii="Times New Roman" w:hAnsi="Times New Roman"/>
            <w:b w:val="false"/>
            <w:i w:val="false"/>
            <w:color w:val="000000"/>
            <w:sz w:val="22"/>
          </w:rPr>
          <w:t>15.318(4)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7493C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261—81.7</w:t>
      </w:r>
      <w:r>
        <w:rPr>
          <w:rFonts w:ascii="Times New Roman" w:hAnsi="Times New Roman"/>
          <w:b/>
          <w:i w:val="false"/>
          <w:color w:val="000000"/>
          <w:sz w:val="22"/>
        </w:rPr>
        <w:t xml:space="preserve">(15) </w:t>
      </w:r>
      <w:r>
        <w:rPr>
          <w:rFonts w:ascii="Times New Roman" w:hAnsi="Times New Roman"/>
          <w:b/>
          <w:i w:val="false"/>
          <w:color w:val="000000"/>
          <w:sz w:val="22"/>
        </w:rPr>
        <w:t xml:space="preserve">Claiming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81.7(1)</w:t>
      </w:r>
      <w:r>
        <w:rPr>
          <w:rFonts w:ascii="Times New Roman" w:hAnsi="Times New Roman"/>
          <w:b w:val="false"/>
          <w:i w:val="false"/>
          <w:color w:val="000000"/>
          <w:sz w:val="22"/>
        </w:rPr>
        <w:t> </w:t>
      </w:r>
      <w:r>
        <w:rPr>
          <w:rFonts w:ascii="Times New Roman" w:hAnsi="Times New Roman"/>
          <w:b w:val="false"/>
          <w:i/>
          <w:color w:val="000000"/>
          <w:sz w:val="22"/>
        </w:rPr>
        <w:t xml:space="preserve">Maximum tax credit claimed. </w:t>
      </w:r>
      <w:r>
        <w:rPr>
          <w:rFonts w:ascii="Times New Roman" w:hAnsi="Times New Roman"/>
          <w:b w:val="false"/>
          <w:i w:val="false"/>
          <w:color w:val="000000"/>
          <w:sz w:val="22"/>
        </w:rPr>
        <w:t xml:space="preserve">An eligible business that has entered into an agreement pursuant to rule </w:t>
      </w:r>
      <w:hyperlink r:id="rId25">
        <w:r>
          <w:rPr>
            <w:rStyle w:val="Hyperlink"/>
            <w:rFonts w:ascii="Times New Roman" w:hAnsi="Times New Roman"/>
            <w:b w:val="false"/>
            <w:i w:val="false"/>
            <w:color w:val="000000"/>
            <w:sz w:val="22"/>
          </w:rPr>
          <w:t>261—81.5</w:t>
        </w:r>
      </w:hyperlink>
      <w:r>
        <w:rPr>
          <w:rFonts w:ascii="Times New Roman" w:hAnsi="Times New Roman"/>
          <w:b w:val="false"/>
          <w:i w:val="false"/>
          <w:color w:val="000000"/>
          <w:sz w:val="22"/>
        </w:rPr>
        <w:t xml:space="preserve">(15) and been issued a tax credit certificate pursuant to subrule </w:t>
      </w:r>
      <w:hyperlink r:id="rId26">
        <w:r>
          <w:rPr>
            <w:rStyle w:val="Hyperlink"/>
            <w:rFonts w:ascii="Times New Roman" w:hAnsi="Times New Roman"/>
            <w:b w:val="false"/>
            <w:i w:val="false"/>
            <w:color w:val="000000"/>
            <w:sz w:val="22"/>
          </w:rPr>
          <w:t>81.6(1)</w:t>
        </w:r>
      </w:hyperlink>
      <w:r>
        <w:rPr>
          <w:rFonts w:ascii="Times New Roman" w:hAnsi="Times New Roman"/>
          <w:b w:val="false"/>
          <w:i w:val="false"/>
          <w:color w:val="000000"/>
          <w:sz w:val="22"/>
        </w:rPr>
        <w:t xml:space="preserve"> may claim a tax credit as described in Iowa Code section </w:t>
      </w:r>
      <w:hyperlink r:id="rId27">
        <w:r>
          <w:rPr>
            <w:rStyle w:val="Hyperlink"/>
            <w:rFonts w:ascii="Times New Roman" w:hAnsi="Times New Roman"/>
            <w:b w:val="false"/>
            <w:i w:val="false"/>
            <w:color w:val="000000"/>
            <w:sz w:val="22"/>
          </w:rPr>
          <w:t>15.319(1)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2023 Iowa Acts, Senate File 575</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81.7(2)</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r>
        <w:rPr>
          <w:rFonts w:ascii="Times New Roman" w:hAnsi="Times New Roman"/>
          <w:b w:val="false"/>
          <w:i w:val="false"/>
          <w:color w:val="000000"/>
          <w:sz w:val="22"/>
        </w:rPr>
        <w:t>To receive the tax credit, an eligible business shall file a claim in accordance with any applicable administrative rules adopted by the department of revenue.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7493C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261—81.8</w:t>
      </w:r>
      <w:r>
        <w:rPr>
          <w:rFonts w:ascii="Times New Roman" w:hAnsi="Times New Roman"/>
          <w:b/>
          <w:i w:val="false"/>
          <w:color w:val="000000"/>
          <w:sz w:val="22"/>
        </w:rPr>
        <w:t xml:space="preserve">(15) </w:t>
      </w:r>
      <w:r>
        <w:rPr>
          <w:rFonts w:ascii="Times New Roman" w:hAnsi="Times New Roman"/>
          <w:b/>
          <w:i w:val="false"/>
          <w:color w:val="000000"/>
          <w:sz w:val="22"/>
        </w:rPr>
        <w:t xml:space="preserve">Process to add building block chemicals.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81.8(1)</w:t>
      </w:r>
      <w:r>
        <w:rPr>
          <w:rFonts w:ascii="Times New Roman" w:hAnsi="Times New Roman"/>
          <w:b w:val="false"/>
          <w:i w:val="false"/>
          <w:color w:val="000000"/>
          <w:sz w:val="22"/>
        </w:rPr>
        <w:t> </w:t>
      </w:r>
      <w:r>
        <w:rPr>
          <w:rFonts w:ascii="Times New Roman" w:hAnsi="Times New Roman"/>
          <w:b w:val="false"/>
          <w:i/>
          <w:color w:val="000000"/>
          <w:sz w:val="22"/>
        </w:rPr>
        <w:t xml:space="preserve">General process. </w:t>
      </w:r>
      <w:r>
        <w:rPr>
          <w:rFonts w:ascii="Times New Roman" w:hAnsi="Times New Roman"/>
          <w:b w:val="false"/>
          <w:i w:val="false"/>
          <w:color w:val="000000"/>
          <w:sz w:val="22"/>
        </w:rPr>
        <w:t xml:space="preserve">The authority may add additional molecules to the definition of “building block chemical” in rule </w:t>
      </w:r>
      <w:hyperlink r:id="rId28">
        <w:r>
          <w:rPr>
            <w:rStyle w:val="Hyperlink"/>
            <w:rFonts w:ascii="Times New Roman" w:hAnsi="Times New Roman"/>
            <w:b w:val="false"/>
            <w:i w:val="false"/>
            <w:color w:val="000000"/>
            <w:sz w:val="22"/>
          </w:rPr>
          <w:t>261—81.2</w:t>
        </w:r>
      </w:hyperlink>
      <w:r>
        <w:rPr>
          <w:rFonts w:ascii="Times New Roman" w:hAnsi="Times New Roman"/>
          <w:b w:val="false"/>
          <w:i w:val="false"/>
          <w:color w:val="000000"/>
          <w:sz w:val="22"/>
        </w:rPr>
        <w:t xml:space="preserve">(15) pursuant to Iowa Code section </w:t>
      </w:r>
      <w:hyperlink r:id="rId29">
        <w:r>
          <w:rPr>
            <w:rStyle w:val="Hyperlink"/>
            <w:rFonts w:ascii="Times New Roman" w:hAnsi="Times New Roman"/>
            <w:b w:val="false"/>
            <w:i w:val="false"/>
            <w:color w:val="000000"/>
            <w:sz w:val="22"/>
          </w:rPr>
          <w:t>15.316(3)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2023 Iowa Acts, Senate File 575</w:t>
      </w:r>
      <w:r>
        <w:rPr>
          <w:rFonts w:ascii="Times New Roman" w:hAnsi="Times New Roman"/>
          <w:b w:val="false"/>
          <w:i w:val="false"/>
          <w:color w:val="000000"/>
          <w:sz w:val="22"/>
        </w:rPr>
        <w:t>. The authority may initiate the administrative rulemaking process for the addition of such molecules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81.8(2)</w:t>
      </w:r>
      <w:r>
        <w:rPr>
          <w:rFonts w:ascii="Times New Roman" w:hAnsi="Times New Roman"/>
          <w:b w:val="false"/>
          <w:i w:val="false"/>
          <w:color w:val="000000"/>
          <w:sz w:val="22"/>
        </w:rPr>
        <w:t> </w:t>
      </w:r>
      <w:r>
        <w:rPr>
          <w:rFonts w:ascii="Times New Roman" w:hAnsi="Times New Roman"/>
          <w:b w:val="false"/>
          <w:i/>
          <w:color w:val="000000"/>
          <w:sz w:val="22"/>
        </w:rPr>
        <w:t xml:space="preserve">Request to include additional molecules. </w:t>
      </w:r>
      <w:r>
        <w:rPr>
          <w:rFonts w:ascii="Times New Roman" w:hAnsi="Times New Roman"/>
          <w:b w:val="false"/>
          <w:i w:val="false"/>
          <w:color w:val="000000"/>
          <w:sz w:val="22"/>
        </w:rPr>
        <w:t>Any individual or business may request that an additional molecule be added to the definition of “building block chemical” by submitting a written request to the authority. Such requests shall be made in the form prescribed by the authority and may be submitted to the authority between April 1 and May 1 of each calendar year and October 1 and November 1 of each calendar year. The authority may adjust these dates under extenuating circumstances and will provide notice of adjustments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81.8(3)</w:t>
      </w:r>
      <w:r>
        <w:rPr>
          <w:rFonts w:ascii="Times New Roman" w:hAnsi="Times New Roman"/>
          <w:b w:val="false"/>
          <w:i w:val="false"/>
          <w:color w:val="000000"/>
          <w:sz w:val="22"/>
        </w:rPr>
        <w:t> </w:t>
      </w:r>
      <w:r>
        <w:rPr>
          <w:rFonts w:ascii="Times New Roman" w:hAnsi="Times New Roman"/>
          <w:b w:val="false"/>
          <w:i/>
          <w:color w:val="000000"/>
          <w:sz w:val="22"/>
        </w:rPr>
        <w:t xml:space="preserve">Consultation with experts. </w:t>
      </w:r>
      <w:r>
        <w:rPr>
          <w:rFonts w:ascii="Times New Roman" w:hAnsi="Times New Roman"/>
          <w:b w:val="false"/>
          <w:i w:val="false"/>
          <w:color w:val="000000"/>
          <w:sz w:val="22"/>
        </w:rPr>
        <w:t xml:space="preserve">Prior to initiating a rulemaking to add molecules to the definition of “building block chemical” in rule </w:t>
      </w:r>
      <w:hyperlink r:id="rId30">
        <w:r>
          <w:rPr>
            <w:rStyle w:val="Hyperlink"/>
            <w:rFonts w:ascii="Times New Roman" w:hAnsi="Times New Roman"/>
            <w:b w:val="false"/>
            <w:i w:val="false"/>
            <w:color w:val="000000"/>
            <w:sz w:val="22"/>
          </w:rPr>
          <w:t>261—81.2</w:t>
        </w:r>
      </w:hyperlink>
      <w:r>
        <w:rPr>
          <w:rFonts w:ascii="Times New Roman" w:hAnsi="Times New Roman"/>
          <w:b w:val="false"/>
          <w:i w:val="false"/>
          <w:color w:val="000000"/>
          <w:sz w:val="22"/>
        </w:rPr>
        <w:t xml:space="preserve">(15), the authority shall consult with appropriate experts from Iowa state university, including but not limited to the Iowa state university center for biorenewable chemicals. The authority shall conduct an initial staff review of any requests received by the authority pursuant to subrule </w:t>
      </w:r>
      <w:hyperlink r:id="rId31">
        <w:r>
          <w:rPr>
            <w:rStyle w:val="Hyperlink"/>
            <w:rFonts w:ascii="Times New Roman" w:hAnsi="Times New Roman"/>
            <w:b w:val="false"/>
            <w:i w:val="false"/>
            <w:color w:val="000000"/>
            <w:sz w:val="22"/>
          </w:rPr>
          <w:t>81.8(2)</w:t>
        </w:r>
      </w:hyperlink>
      <w:r>
        <w:rPr>
          <w:rFonts w:ascii="Times New Roman" w:hAnsi="Times New Roman"/>
          <w:b w:val="false"/>
          <w:i w:val="false"/>
          <w:color w:val="000000"/>
          <w:sz w:val="22"/>
        </w:rPr>
        <w:t>. Following the initial staff review, the authority shall consult with the experts at Iowa state university regarding the molecules that the authority believes are consistent with the definitions under this chapter. The experts at Iowa state university shall provide a written recommendation to the authority indicating which chemicals, in the experts’ opinion, meet the definition of “building block chemical” consistent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81.8(4)</w:t>
      </w:r>
      <w:r>
        <w:rPr>
          <w:rFonts w:ascii="Times New Roman" w:hAnsi="Times New Roman"/>
          <w:b w:val="false"/>
          <w:i w:val="false"/>
          <w:color w:val="000000"/>
          <w:sz w:val="22"/>
        </w:rPr>
        <w:t> </w:t>
      </w:r>
      <w:r>
        <w:rPr>
          <w:rFonts w:ascii="Times New Roman" w:hAnsi="Times New Roman"/>
          <w:b w:val="false"/>
          <w:i/>
          <w:color w:val="000000"/>
          <w:sz w:val="22"/>
        </w:rPr>
        <w:t xml:space="preserve">Initiation of rulemaking proceedings. </w:t>
      </w:r>
      <w:r>
        <w:rPr>
          <w:rFonts w:ascii="Times New Roman" w:hAnsi="Times New Roman"/>
          <w:b w:val="false"/>
          <w:i w:val="false"/>
          <w:color w:val="000000"/>
          <w:sz w:val="22"/>
        </w:rPr>
        <w:t xml:space="preserve">Following the consultation and review process set forth in subrule </w:t>
      </w:r>
      <w:hyperlink r:id="rId32">
        <w:r>
          <w:rPr>
            <w:rStyle w:val="Hyperlink"/>
            <w:rFonts w:ascii="Times New Roman" w:hAnsi="Times New Roman"/>
            <w:b w:val="false"/>
            <w:i w:val="false"/>
            <w:color w:val="000000"/>
            <w:sz w:val="22"/>
          </w:rPr>
          <w:t>81.8(3)</w:t>
        </w:r>
      </w:hyperlink>
      <w:r>
        <w:rPr>
          <w:rFonts w:ascii="Times New Roman" w:hAnsi="Times New Roman"/>
          <w:b w:val="false"/>
          <w:i w:val="false"/>
          <w:color w:val="000000"/>
          <w:sz w:val="22"/>
        </w:rPr>
        <w:t>, the authority may initiate the administrative rulemaking process to amend the definition of “building block chemical” to add molecules that the authority, in the authority’s sole discretion, finds to be consistent with the definitions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7493C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261—81.9</w:t>
      </w:r>
      <w:r>
        <w:rPr>
          <w:rFonts w:ascii="Times New Roman" w:hAnsi="Times New Roman"/>
          <w:b/>
          <w:i w:val="false"/>
          <w:color w:val="000000"/>
          <w:sz w:val="22"/>
        </w:rPr>
        <w:t xml:space="preserve">(15)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 xml:space="preserve">The authority may at any time request additional information and documentation from an eligible business regarding the operations, job creation, and economic impact of the eligible business, and the authority may use the information in preparing and publishing any reports to be provided to the governor and the general assembly to the extent consistent with Iowa Code section </w:t>
      </w:r>
      <w:hyperlink r:id="rId33">
        <w:r>
          <w:rPr>
            <w:rStyle w:val="Hyperlink"/>
            <w:rFonts w:ascii="Times New Roman" w:hAnsi="Times New Roman"/>
            <w:b w:val="false"/>
            <w:i w:val="false"/>
            <w:color w:val="000000"/>
            <w:sz w:val="22"/>
          </w:rPr>
          <w:t>15.318(5)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7493C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4">
        <w:r>
          <w:rPr>
            <w:rStyle w:val="Hyperlink"/>
            <w:rFonts w:ascii="Times New Roman" w:hAnsi="Times New Roman"/>
            <w:b w:val="false"/>
            <w:i w:val="false"/>
            <w:color w:val="000000"/>
            <w:sz w:val="22"/>
          </w:rPr>
          <w:t>15.315</w:t>
        </w:r>
      </w:hyperlink>
      <w:r>
        <w:rPr>
          <w:rFonts w:ascii="Times New Roman" w:hAnsi="Times New Roman"/>
          <w:b w:val="false"/>
          <w:i w:val="false"/>
          <w:color w:val="000000"/>
          <w:sz w:val="22"/>
        </w:rPr>
        <w:t xml:space="preserve"> through </w:t>
      </w:r>
      <w:hyperlink r:id="rId35">
        <w:r>
          <w:rPr>
            <w:rStyle w:val="Hyperlink"/>
            <w:rFonts w:ascii="Times New Roman" w:hAnsi="Times New Roman"/>
            <w:b w:val="false"/>
            <w:i w:val="false"/>
            <w:color w:val="000000"/>
            <w:sz w:val="22"/>
          </w:rPr>
          <w:t>15.322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2023 Iowa Acts, Senate File 575</w:t>
      </w:r>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ARC 3004C</w:t>
      </w:r>
      <w:r>
        <w:rPr>
          <w:rFonts w:ascii="Times New Roman" w:hAnsi="Times New Roman"/>
          <w:b w:val="false"/>
          <w:i w:val="false"/>
          <w:color w:val="000000"/>
          <w:sz w:val="21"/>
        </w:rPr>
        <w:t xml:space="preserve"> (Notice ARC 2867C, IAB 12/21/16)</w:t>
      </w:r>
      <w:r>
        <w:rPr>
          <w:rFonts w:ascii="Times New Roman" w:hAnsi="Times New Roman"/>
          <w:b w:val="false"/>
          <w:i w:val="false"/>
          <w:color w:val="000000"/>
          <w:sz w:val="21"/>
        </w:rPr>
        <w:t>, IAB 3/29/17, effective 5/3/17]</w:t>
      </w:r>
    </w:p>
    <w:p>
      <w:pPr>
        <w:spacing w:before="0" w:after="0"/>
        <w:ind w:left="120"/>
        <w:jc w:val="center"/>
      </w:pPr>
      <w:r>
        <w:rPr>
          <w:rFonts w:ascii="Times New Roman" w:hAnsi="Times New Roman"/>
          <w:b w:val="false"/>
          <w:i w:val="false"/>
          <w:color w:val="000000"/>
          <w:sz w:val="21"/>
        </w:rPr>
        <w:t>[Filed ARC 4307C</w:t>
      </w:r>
      <w:r>
        <w:rPr>
          <w:rFonts w:ascii="Times New Roman" w:hAnsi="Times New Roman"/>
          <w:b w:val="false"/>
          <w:i w:val="false"/>
          <w:color w:val="000000"/>
          <w:sz w:val="21"/>
        </w:rPr>
        <w:t xml:space="preserve"> (Notice ARC 4043C, IAB 10/10/18)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4971C</w:t>
      </w:r>
      <w:r>
        <w:rPr>
          <w:rFonts w:ascii="Times New Roman" w:hAnsi="Times New Roman"/>
          <w:b w:val="false"/>
          <w:i w:val="false"/>
          <w:color w:val="000000"/>
          <w:sz w:val="21"/>
        </w:rPr>
        <w:t xml:space="preserve"> (Notice ARC 4669C,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5140C</w:t>
      </w:r>
      <w:r>
        <w:rPr>
          <w:rFonts w:ascii="Times New Roman" w:hAnsi="Times New Roman"/>
          <w:b w:val="false"/>
          <w:i w:val="false"/>
          <w:color w:val="000000"/>
          <w:sz w:val="21"/>
        </w:rPr>
        <w:t xml:space="preserve"> (Notice ARC 4966C, IAB 3/11/20)</w:t>
      </w:r>
      <w:r>
        <w:rPr>
          <w:rFonts w:ascii="Times New Roman" w:hAnsi="Times New Roman"/>
          <w:b w:val="false"/>
          <w:i w:val="false"/>
          <w:color w:val="000000"/>
          <w:sz w:val="21"/>
        </w:rPr>
        <w:t>, IAB 8/12/20, effective 9/16/20]</w:t>
      </w:r>
    </w:p>
    <w:p>
      <w:pPr>
        <w:spacing w:before="0" w:after="0"/>
        <w:ind w:left="120"/>
        <w:jc w:val="center"/>
      </w:pPr>
      <w:r>
        <w:rPr>
          <w:rFonts w:ascii="Times New Roman" w:hAnsi="Times New Roman"/>
          <w:b w:val="false"/>
          <w:i w:val="false"/>
          <w:color w:val="000000"/>
          <w:sz w:val="21"/>
        </w:rPr>
        <w:t>[Editorial change: IAC Supplement 4/7/21]</w:t>
      </w:r>
    </w:p>
    <w:p>
      <w:pPr>
        <w:spacing w:before="0" w:after="0"/>
        <w:ind w:left="120"/>
        <w:jc w:val="center"/>
      </w:pPr>
      <w:r>
        <w:rPr>
          <w:rFonts w:ascii="Times New Roman" w:hAnsi="Times New Roman"/>
          <w:b w:val="false"/>
          <w:i w:val="false"/>
          <w:color w:val="000000"/>
          <w:sz w:val="21"/>
        </w:rPr>
        <w:t>[Editorial change: IAC Supplement 12/15/21]</w:t>
      </w:r>
    </w:p>
    <w:p>
      <w:pPr>
        <w:spacing w:before="0" w:after="0"/>
        <w:ind w:left="120"/>
        <w:jc w:val="center"/>
      </w:pPr>
      <w:r>
        <w:rPr>
          <w:rFonts w:ascii="Times New Roman" w:hAnsi="Times New Roman"/>
          <w:b w:val="false"/>
          <w:i w:val="false"/>
          <w:color w:val="000000"/>
          <w:sz w:val="21"/>
        </w:rPr>
        <w:t>[Filed ARC 6319C</w:t>
      </w:r>
      <w:r>
        <w:rPr>
          <w:rFonts w:ascii="Times New Roman" w:hAnsi="Times New Roman"/>
          <w:b w:val="false"/>
          <w:i w:val="false"/>
          <w:color w:val="000000"/>
          <w:sz w:val="21"/>
        </w:rPr>
        <w:t xml:space="preserve"> (Notice ARC 6202C, IAB 2/23/22)</w:t>
      </w:r>
      <w:r>
        <w:rPr>
          <w:rFonts w:ascii="Times New Roman" w:hAnsi="Times New Roman"/>
          <w:b w:val="false"/>
          <w:i w:val="false"/>
          <w:color w:val="000000"/>
          <w:sz w:val="21"/>
        </w:rPr>
        <w:t>, IAB 5/18/22, effective 6/22/22]</w:t>
      </w:r>
    </w:p>
    <w:p>
      <w:pPr>
        <w:spacing w:before="0" w:after="0"/>
        <w:ind w:left="120"/>
        <w:jc w:val="center"/>
      </w:pPr>
      <w:r>
        <w:rPr>
          <w:rFonts w:ascii="Times New Roman" w:hAnsi="Times New Roman"/>
          <w:b w:val="false"/>
          <w:i w:val="false"/>
          <w:color w:val="000000"/>
          <w:sz w:val="21"/>
        </w:rPr>
        <w:t>[Filed ARC 7493C</w:t>
      </w:r>
      <w:r>
        <w:rPr>
          <w:rFonts w:ascii="Times New Roman" w:hAnsi="Times New Roman"/>
          <w:b w:val="false"/>
          <w:i w:val="false"/>
          <w:color w:val="000000"/>
          <w:sz w:val="21"/>
        </w:rPr>
        <w:t xml:space="preserve"> (Notice ARC 7105C, IAB 11/1/23)</w:t>
      </w:r>
      <w:r>
        <w:rPr>
          <w:rFonts w:ascii="Times New Roman" w:hAnsi="Times New Roman"/>
          <w:b w:val="false"/>
          <w:i w:val="false"/>
          <w:color w:val="000000"/>
          <w:sz w:val="21"/>
        </w:rPr>
        <w:t>, IAB 1/10/24, effective 2/14/24]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www.iowaeda.com" Type="http://schemas.openxmlformats.org/officeDocument/2006/relationships/hyperlink" Id="rId6"/>
    <Relationship TargetMode="External" Target="https://www.legis.iowa.gov/docs/ico/chapter/15.316.pdf" Type="http://schemas.openxmlformats.org/officeDocument/2006/relationships/hyperlink" Id="rId7"/>
    <Relationship TargetMode="External" Target="https://www.legis.iowa.gov/docs/ico/chapter/15.105.pdf" Type="http://schemas.openxmlformats.org/officeDocument/2006/relationships/hyperlink" Id="rId8"/>
    <Relationship TargetMode="External" Target="https://www.legis.iowa.gov/docs/ico/chapter/15.316.pdf" Type="http://schemas.openxmlformats.org/officeDocument/2006/relationships/hyperlink" Id="rId9"/>
    <Relationship TargetMode="External" Target="https://www.legis.iowa.gov/docs/iac/rule/261.81.8.pdf" Type="http://schemas.openxmlformats.org/officeDocument/2006/relationships/hyperlink" Id="rId10"/>
    <Relationship TargetMode="External" Target="https://www.legis.iowa.gov/docs/ico/chapter/15.316.pdf" Type="http://schemas.openxmlformats.org/officeDocument/2006/relationships/hyperlink" Id="rId11"/>
    <Relationship TargetMode="External" Target="https://www.legis.iowa.gov/docs/ico/chapter/15.316.pdf" Type="http://schemas.openxmlformats.org/officeDocument/2006/relationships/hyperlink" Id="rId12"/>
    <Relationship TargetMode="External" Target="https://www.legis.iowa.gov/docs/ico/chapter/15.315.pdf" Type="http://schemas.openxmlformats.org/officeDocument/2006/relationships/hyperlink" Id="rId13"/>
    <Relationship TargetMode="External" Target="https://www.legis.iowa.gov/docs/ico/chapter/15.322.pdf" Type="http://schemas.openxmlformats.org/officeDocument/2006/relationships/hyperlink" Id="rId14"/>
    <Relationship TargetMode="External" Target="https://www.legis.iowa.gov/docs/ico/chapter/15.316.pdf" Type="http://schemas.openxmlformats.org/officeDocument/2006/relationships/hyperlink" Id="rId15"/>
    <Relationship TargetMode="External" Target="https://www.legis.iowa.gov/docs/ico/chapter/15.317.pdf" Type="http://schemas.openxmlformats.org/officeDocument/2006/relationships/hyperlink" Id="rId16"/>
    <Relationship TargetMode="External" Target="https://www.legis.iowa.gov/docs/ico/chapter/15.318.pdf" Type="http://schemas.openxmlformats.org/officeDocument/2006/relationships/hyperlink" Id="rId17"/>
    <Relationship TargetMode="External" Target="https://www.legis.iowa.gov/docs/ico/chapter/15.318.pdf" Type="http://schemas.openxmlformats.org/officeDocument/2006/relationships/hyperlink" Id="rId18"/>
    <Relationship TargetMode="External" Target="https://www.legis.iowa.gov/docs/iac/rule/261.81.5.pdf" Type="http://schemas.openxmlformats.org/officeDocument/2006/relationships/hyperlink" Id="rId19"/>
    <Relationship TargetMode="External" Target="https://www.legis.iowa.gov/docs/ico/chapter/15.319.pdf" Type="http://schemas.openxmlformats.org/officeDocument/2006/relationships/hyperlink" Id="rId20"/>
    <Relationship TargetMode="External" Target="https://www.legis.iowa.gov/docs/ico/chapter/15.318.pdf" Type="http://schemas.openxmlformats.org/officeDocument/2006/relationships/hyperlink" Id="rId21"/>
    <Relationship TargetMode="External" Target="https://www.legis.iowa.gov/docs/iac/rule/261.81.3.pdf" Type="http://schemas.openxmlformats.org/officeDocument/2006/relationships/hyperlink" Id="rId22"/>
    <Relationship TargetMode="External" Target="https://www.legis.iowa.gov/docs/ico/chapter/15.318.pdf" Type="http://schemas.openxmlformats.org/officeDocument/2006/relationships/hyperlink" Id="rId23"/>
    <Relationship TargetMode="External" Target="https://www.legis.iowa.gov/docs/ico/chapter/15.318.pdf" Type="http://schemas.openxmlformats.org/officeDocument/2006/relationships/hyperlink" Id="rId24"/>
    <Relationship TargetMode="External" Target="https://www.legis.iowa.gov/docs/iac/rule/261.81.5.pdf" Type="http://schemas.openxmlformats.org/officeDocument/2006/relationships/hyperlink" Id="rId25"/>
    <Relationship TargetMode="External" Target="https://www.legis.iowa.gov/docs/iac/rule/261.81.6.pdf" Type="http://schemas.openxmlformats.org/officeDocument/2006/relationships/hyperlink" Id="rId26"/>
    <Relationship TargetMode="External" Target="https://www.legis.iowa.gov/docs/ico/chapter/15.319.pdf" Type="http://schemas.openxmlformats.org/officeDocument/2006/relationships/hyperlink" Id="rId27"/>
    <Relationship TargetMode="External" Target="https://www.legis.iowa.gov/docs/iac/rule/261.81.2.pdf" Type="http://schemas.openxmlformats.org/officeDocument/2006/relationships/hyperlink" Id="rId28"/>
    <Relationship TargetMode="External" Target="https://www.legis.iowa.gov/docs/ico/chapter/15.316.pdf" Type="http://schemas.openxmlformats.org/officeDocument/2006/relationships/hyperlink" Id="rId29"/>
    <Relationship TargetMode="External" Target="https://www.legis.iowa.gov/docs/iac/rule/261.81.2.pdf" Type="http://schemas.openxmlformats.org/officeDocument/2006/relationships/hyperlink" Id="rId30"/>
    <Relationship TargetMode="External" Target="https://www.legis.iowa.gov/docs/iac/rule/261.81.8.pdf" Type="http://schemas.openxmlformats.org/officeDocument/2006/relationships/hyperlink" Id="rId31"/>
    <Relationship TargetMode="External" Target="https://www.legis.iowa.gov/docs/iac/rule/261.81.8.pdf" Type="http://schemas.openxmlformats.org/officeDocument/2006/relationships/hyperlink" Id="rId32"/>
    <Relationship TargetMode="External" Target="https://www.legis.iowa.gov/docs/ico/chapter/15.318.pdf" Type="http://schemas.openxmlformats.org/officeDocument/2006/relationships/hyperlink" Id="rId33"/>
    <Relationship TargetMode="External" Target="https://www.legis.iowa.gov/docs/ico/chapter/15.315.pdf" Type="http://schemas.openxmlformats.org/officeDocument/2006/relationships/hyperlink" Id="rId34"/>
    <Relationship TargetMode="External" Target="https://www.legis.iowa.gov/docs/ico/chapter/15.322.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