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SITE DEVELOPMENT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261—77.1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entity that submits an application to the authority for a certificate of readiness for a site development area or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established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readiness” </w:t>
      </w:r>
      <w:r>
        <w:rPr>
          <w:rFonts w:ascii="Times New Roman" w:hAnsi="Times New Roman"/>
          <w:b w:val="false"/>
          <w:i w:val="false"/>
          <w:color w:val="000000"/>
          <w:sz w:val="22"/>
        </w:rPr>
        <w:t xml:space="preserve">means a certificate issued to a local government or local economic development official for a site that is determined to be ready for development or redevelopment based on criteria set forth in rule </w:t>
      </w:r>
      <w:hyperlink r:id="rId6">
        <w:r>
          <w:rPr>
            <w:rStyle w:val="Hyperlink"/>
            <w:rFonts w:ascii="Times New Roman" w:hAnsi="Times New Roman"/>
            <w:b w:val="false"/>
            <w:i w:val="false"/>
            <w:color w:val="000000"/>
            <w:sz w:val="22"/>
          </w:rPr>
          <w:t>261—77.4</w:t>
        </w:r>
      </w:hyperlink>
      <w:r>
        <w:rPr>
          <w:rFonts w:ascii="Times New Roman" w:hAnsi="Times New Roman"/>
          <w:b w:val="false"/>
          <w:i w:val="false"/>
          <w:color w:val="000000"/>
          <w:sz w:val="22"/>
        </w:rPr>
        <w:t>(15E).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development area” </w:t>
      </w:r>
      <w:r>
        <w:rPr>
          <w:rFonts w:ascii="Times New Roman" w:hAnsi="Times New Roman"/>
          <w:b w:val="false"/>
          <w:i w:val="false"/>
          <w:color w:val="000000"/>
          <w:sz w:val="22"/>
        </w:rPr>
        <w:t>means property that is included as part of a site development plan and that is to be used or proposed to be used for development or redevelopment.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261—77.2</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Eligible applicants may apply to the authority for a certificate of readiness pursuant to Iowa Code section </w:t>
      </w:r>
      <w:hyperlink r:id="rId7">
        <w:r>
          <w:rPr>
            <w:rStyle w:val="Hyperlink"/>
            <w:rFonts w:ascii="Times New Roman" w:hAnsi="Times New Roman"/>
            <w:b w:val="false"/>
            <w:i w:val="false"/>
            <w:color w:val="000000"/>
            <w:sz w:val="22"/>
          </w:rPr>
          <w:t>15E.18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261—77.3</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review;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requests for a certificate of readiness for a site development area shall be made using the application provided by the authority. The application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information, including name, address, telephone number and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property owner(s) related to the site development area(s) and control of the site development area(s) for the period the certificate of readiness will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site development plan(s) for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authority will accept applications during specified time periods. The authority and, if applicable, a contractor engaged for the purpose of evaluating sites will review applications based on the general criteria described in subrule </w:t>
      </w:r>
      <w:hyperlink r:id="rId8">
        <w:r>
          <w:rPr>
            <w:rStyle w:val="Hyperlink"/>
            <w:rFonts w:ascii="Times New Roman" w:hAnsi="Times New Roman"/>
            <w:b w:val="false"/>
            <w:i w:val="false"/>
            <w:color w:val="000000"/>
            <w:sz w:val="22"/>
          </w:rPr>
          <w:t>77.4(1)</w:t>
        </w:r>
      </w:hyperlink>
      <w:r>
        <w:rPr>
          <w:rFonts w:ascii="Times New Roman" w:hAnsi="Times New Roman"/>
          <w:b w:val="false"/>
          <w:i w:val="false"/>
          <w:color w:val="000000"/>
          <w:sz w:val="22"/>
        </w:rPr>
        <w:t>. The authority will evaluate each application to identify any barriers to development or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authority may approve, deny or defer applications for a certificate of readiness. If the authority approves an application for a certificate of readiness, the authority will issue a certificate of readiness in accordance with rule </w:t>
      </w:r>
      <w:hyperlink r:id="rId9">
        <w:r>
          <w:rPr>
            <w:rStyle w:val="Hyperlink"/>
            <w:rFonts w:ascii="Times New Roman" w:hAnsi="Times New Roman"/>
            <w:b w:val="false"/>
            <w:i w:val="false"/>
            <w:color w:val="000000"/>
            <w:sz w:val="22"/>
          </w:rPr>
          <w:t>261—77.5</w:t>
        </w:r>
      </w:hyperlink>
      <w:r>
        <w:rPr>
          <w:rFonts w:ascii="Times New Roman" w:hAnsi="Times New Roman"/>
          <w:b w:val="false"/>
          <w:i w:val="false"/>
          <w:color w:val="000000"/>
          <w:sz w:val="22"/>
        </w:rPr>
        <w:t>(15E).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261—77.4</w:t>
      </w:r>
      <w:r>
        <w:rPr>
          <w:rFonts w:ascii="Times New Roman" w:hAnsi="Times New Roman"/>
          <w:b/>
          <w:i w:val="false"/>
          <w:color w:val="000000"/>
          <w:sz w:val="22"/>
        </w:rPr>
        <w:t xml:space="preserve">(15E) </w:t>
      </w:r>
      <w:r>
        <w:rPr>
          <w:rFonts w:ascii="Times New Roman" w:hAnsi="Times New Roman"/>
          <w:b/>
          <w:i w:val="false"/>
          <w:color w:val="000000"/>
          <w:sz w:val="22"/>
        </w:rPr>
        <w:t xml:space="preserve">Evaluation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evaluating applications for certificates of readiness, the authority will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thoroughness and detail of the site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development plan’s regard for compliance with applicable regulations, including without limitation land-use and zoning restrictions or environmental or cultural protections.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or planning for viable transportation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presence of or planning for viable utility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geologic and natural characteristics of the site development area(s), including the proximity or inclusion of any floodplains.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ownership and control of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Demonstrated support, including without limitation financial and local support, for the site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color w:val="000000"/>
          <w:sz w:val="22"/>
        </w:rPr>
        <w:t xml:space="preserve">Additional consideration. </w:t>
      </w:r>
      <w:r>
        <w:rPr>
          <w:rFonts w:ascii="Times New Roman" w:hAnsi="Times New Roman"/>
          <w:b w:val="false"/>
          <w:i w:val="false"/>
          <w:color w:val="000000"/>
          <w:sz w:val="22"/>
        </w:rPr>
        <w:t>In addition to the general criteria described above, the authority may consider whether a site development plan for a site development area utilizes sustainable design and practices. For purposes of this subrule, “sustainable design” means construction design intended to minimize negative environmental impacts and to promote the health and comfort of building occupants.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261—77.5</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Certificate of readiness.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Upon approval of an application, the authority will issue a certificate of readiness to the applicant. The certificate of readiness will include a short description of how the site development plan meets the general criteria described in subrule </w:t>
      </w:r>
      <w:hyperlink r:id="rId10">
        <w:r>
          <w:rPr>
            <w:rStyle w:val="Hyperlink"/>
            <w:rFonts w:ascii="Times New Roman" w:hAnsi="Times New Roman"/>
            <w:b w:val="false"/>
            <w:i w:val="false"/>
            <w:color w:val="000000"/>
            <w:sz w:val="22"/>
          </w:rPr>
          <w:t>77.4(1)</w:t>
        </w:r>
      </w:hyperlink>
      <w:r>
        <w:rPr>
          <w:rFonts w:ascii="Times New Roman" w:hAnsi="Times New Roman"/>
          <w:b w:val="false"/>
          <w:i w:val="false"/>
          <w:color w:val="000000"/>
          <w:sz w:val="22"/>
        </w:rPr>
        <w:t xml:space="preserve"> and will include whether the site development plan meets the additional consideration described in subrule </w:t>
      </w:r>
      <w:hyperlink r:id="rId11">
        <w:r>
          <w:rPr>
            <w:rStyle w:val="Hyperlink"/>
            <w:rFonts w:ascii="Times New Roman" w:hAnsi="Times New Roman"/>
            <w:b w:val="false"/>
            <w:i w:val="false"/>
            <w:color w:val="000000"/>
            <w:sz w:val="22"/>
          </w:rPr>
          <w:t>77.4(2)</w:t>
        </w:r>
      </w:hyperlink>
      <w:r>
        <w:rPr>
          <w:rFonts w:ascii="Times New Roman" w:hAnsi="Times New Roman"/>
          <w:b w:val="false"/>
          <w:i w:val="false"/>
          <w:color w:val="000000"/>
          <w:sz w:val="22"/>
        </w:rPr>
        <w:t>. The certificate of readiness will be valid for the term described on the certificate, which may vary for each site development area depending on the nature of the development and the site characteristics. In no event shall the term of a certificate exceed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The local government or local economic development official responsible for the site development area shall reapply for a certificate of readiness under these rules for the site to be considered for a subsequent certificate of readiness.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261—77.6</w:t>
      </w:r>
      <w:r>
        <w:rPr>
          <w:rFonts w:ascii="Times New Roman" w:hAnsi="Times New Roman"/>
          <w:b/>
          <w:i w:val="false"/>
          <w:color w:val="000000"/>
          <w:sz w:val="22"/>
        </w:rPr>
        <w:t xml:space="preserve">(15E) </w:t>
      </w:r>
      <w:r>
        <w:rPr>
          <w:rFonts w:ascii="Times New Roman" w:hAnsi="Times New Roman"/>
          <w:b/>
          <w:i w:val="false"/>
          <w:color w:val="000000"/>
          <w:sz w:val="22"/>
        </w:rPr>
        <w:t xml:space="preserve">Consultation. </w:t>
      </w:r>
      <w:r>
        <w:rPr>
          <w:rFonts w:ascii="Times New Roman" w:hAnsi="Times New Roman"/>
          <w:b w:val="false"/>
          <w:i w:val="false"/>
          <w:color w:val="000000"/>
          <w:sz w:val="22"/>
        </w:rPr>
        <w:t>The authority may contract with third parties to provide site development consultations. The applicant will be required to enter a contract with the authority that provides for reimbursement of all or a portion of the cost of site development consultations if, during the period the certificate of readiness is effective, the owner(s) of a site or park sell(s), give(s) away, or otherwise dispose(s) of the site or park or any portion of the site development area for a purpose or use other than a purpose or use for which the site was 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15E.18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9485B</w:t>
      </w:r>
      <w:r>
        <w:rPr>
          <w:rFonts w:ascii="Times New Roman" w:hAnsi="Times New Roman"/>
          <w:b w:val="false"/>
          <w:i w:val="false"/>
          <w:color w:val="000000"/>
          <w:sz w:val="21"/>
        </w:rPr>
        <w:t xml:space="preserve"> (Notice ARC 9255B, IAB 12/1/10)</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0002D</w:t>
      </w:r>
      <w:r>
        <w:rPr>
          <w:rFonts w:ascii="Times New Roman" w:hAnsi="Times New Roman"/>
          <w:b w:val="false"/>
          <w:i w:val="false"/>
          <w:color w:val="000000"/>
          <w:sz w:val="21"/>
        </w:rPr>
        <w:t xml:space="preserve"> (Notice ARC 9648C, IAB 10/29/25)</w:t>
      </w:r>
      <w:r>
        <w:rPr>
          <w:rFonts w:ascii="Times New Roman" w:hAnsi="Times New Roman"/>
          <w:b w:val="false"/>
          <w:i w:val="false"/>
          <w:color w:val="000000"/>
          <w:sz w:val="21"/>
        </w:rPr>
        <w:t>, IAB 1/21/26, effective 2/25/26]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77.4.pdf" Type="http://schemas.openxmlformats.org/officeDocument/2006/relationships/hyperlink" Id="rId6"/>
    <Relationship TargetMode="External" Target="https://www.legis.iowa.gov/docs/ico/chapter/15E.18.pdf" Type="http://schemas.openxmlformats.org/officeDocument/2006/relationships/hyperlink" Id="rId7"/>
    <Relationship TargetMode="External" Target="https://www.legis.iowa.gov/docs/iac/rule/261.77.4.pdf" Type="http://schemas.openxmlformats.org/officeDocument/2006/relationships/hyperlink" Id="rId8"/>
    <Relationship TargetMode="External" Target="https://www.legis.iowa.gov/docs/iac/rule/261.77.5.pdf" Type="http://schemas.openxmlformats.org/officeDocument/2006/relationships/hyperlink" Id="rId9"/>
    <Relationship TargetMode="External" Target="https://www.legis.iowa.gov/docs/iac/rule/261.77.4.pdf" Type="http://schemas.openxmlformats.org/officeDocument/2006/relationships/hyperlink" Id="rId10"/>
    <Relationship TargetMode="External" Target="https://www.legis.iowa.gov/docs/iac/rule/261.77.4.pdf" Type="http://schemas.openxmlformats.org/officeDocument/2006/relationships/hyperlink" Id="rId11"/>
    <Relationship TargetMode="External" Target="https://www.legis.iowa.gov/docs/ico/chapter/15E.18.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