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INTERNATIONAL TRADE FINANCIAL ASSISTANCE</w:t>
      </w:r>
    </w:p>
    <w:p>
      <w:pPr>
        <w:spacing w:before="0" w:after="0"/>
        <w:ind w:left="120"/>
        <w:jc w:val="center"/>
      </w:pPr>
      <w:r>
        <w:rPr>
          <w:rFonts w:ascii="Times New Roman" w:hAnsi="Times New Roman"/>
          <w:b w:val="false"/>
          <w:i w:val="false"/>
          <w:color w:val="000000"/>
          <w:sz w:val="14"/>
        </w:rPr>
        <w:t>[Prior to 11/15/89, see 261—Ch 56]</w:t>
      </w:r>
    </w:p>
    <w:p>
      <w:pPr>
        <w:spacing w:before="0" w:after="0"/>
        <w:ind w:left="120"/>
        <w:jc w:val="center"/>
      </w:pPr>
      <w:r>
        <w:rPr>
          <w:rFonts w:ascii="Times New Roman" w:hAnsi="Times New Roman"/>
          <w:b w:val="false"/>
          <w:i w:val="false"/>
          <w:color w:val="000000"/>
          <w:sz w:val="14"/>
        </w:rPr>
        <w:t>[Prior to 7/19/95, see 261—Ch 61]</w:t>
      </w:r>
    </w:p>
    <w:p>
      <w:pPr>
        <w:spacing w:before="0" w:after="0"/>
        <w:ind w:left="120"/>
        <w:jc w:val="center"/>
      </w:pPr>
      <w:r>
        <w:rPr>
          <w:rFonts w:ascii="Times New Roman" w:hAnsi="Times New Roman"/>
          <w:b w:val="false"/>
          <w:i w:val="false"/>
          <w:color w:val="000000"/>
          <w:sz w:val="14"/>
        </w:rPr>
        <w:t>[Prior to 9/6/00, see 261—Ch 68]</w:t>
      </w:r>
    </w:p>
    <w:p>
      <w:pPr>
        <w:spacing w:before="0" w:after="0"/>
        <w:ind w:left="120"/>
        <w:jc w:val="center"/>
      </w:pPr>
      <w:r>
        <w:rPr>
          <w:rFonts w:ascii="Times New Roman" w:hAnsi="Times New Roman"/>
          <w:b w:val="false"/>
          <w:i w:val="false"/>
          <w:color w:val="000000"/>
          <w:sz w:val="14"/>
        </w:rPr>
        <w:t>[Prior to 7/4/07, see 261—Ch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12/3/30</w:t>
      </w:r>
    </w:p>
    <w:p>
      <w:pPr>
        <w:spacing w:before="0" w:after="0"/>
        <w:ind w:left="120"/>
        <w:jc w:val="both"/>
      </w:pPr>
      <w:r>
        <w:rPr>
          <w:rFonts w:ascii="Times New Roman" w:hAnsi="Times New Roman"/>
          <w:b/>
          <w:i w:val="false"/>
          <w:color w:val="000000"/>
          <w:sz w:val="22"/>
        </w:rPr>
        <w:t>261—72.1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established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trade assistance” </w:t>
      </w:r>
      <w:r>
        <w:rPr>
          <w:rFonts w:ascii="Times New Roman" w:hAnsi="Times New Roman"/>
          <w:b w:val="false"/>
          <w:i w:val="false"/>
          <w:color w:val="000000"/>
          <w:sz w:val="22"/>
        </w:rPr>
        <w:t>means financial assistance for participation in a trade show in the United States with documented significant international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 xml:space="preserve">means an exporter meeting the requirements of rule </w:t>
      </w:r>
      <w:hyperlink r:id="rId6">
        <w:r>
          <w:rPr>
            <w:rStyle w:val="Hyperlink"/>
            <w:rFonts w:ascii="Times New Roman" w:hAnsi="Times New Roman"/>
            <w:b w:val="false"/>
            <w:i w:val="false"/>
            <w:color w:val="000000"/>
            <w:sz w:val="22"/>
          </w:rPr>
          <w:t>261—72.2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“Exporter” </w:t>
      </w:r>
      <w:r>
        <w:rPr>
          <w:rFonts w:ascii="Times New Roman" w:hAnsi="Times New Roman"/>
          <w:b w:val="false"/>
          <w:i w:val="false"/>
          <w:color w:val="000000"/>
          <w:sz w:val="22"/>
        </w:rPr>
        <w:t>means a business that sells a manufactured project, a value-added product, an agricultural product, or a service outside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“Export trade assistance” </w:t>
      </w:r>
      <w:r>
        <w:rPr>
          <w:rFonts w:ascii="Times New Roman" w:hAnsi="Times New Roman"/>
          <w:b w:val="false"/>
          <w:i w:val="false"/>
          <w:color w:val="000000"/>
          <w:sz w:val="22"/>
        </w:rPr>
        <w:t>means financial assistance provided for participation in a trade show or trade mission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services” </w:t>
      </w:r>
      <w:r>
        <w:rPr>
          <w:rFonts w:ascii="Times New Roman" w:hAnsi="Times New Roman"/>
          <w:b w:val="false"/>
          <w:i w:val="false"/>
          <w:color w:val="000000"/>
          <w:sz w:val="22"/>
        </w:rPr>
        <w:t xml:space="preserve">means third-party services, identified as eligible expenses in subrule </w:t>
      </w:r>
      <w:hyperlink r:id="rId7">
        <w:r>
          <w:rPr>
            <w:rStyle w:val="Hyperlink"/>
            <w:rFonts w:ascii="Times New Roman" w:hAnsi="Times New Roman"/>
            <w:b w:val="false"/>
            <w:i w:val="false"/>
            <w:color w:val="000000"/>
            <w:sz w:val="22"/>
          </w:rPr>
          <w:t>72.3(3)</w:t>
        </w:r>
      </w:hyperlink>
      <w:r>
        <w:rPr>
          <w:rFonts w:ascii="Times New Roman" w:hAnsi="Times New Roman"/>
          <w:b w:val="false"/>
          <w:i w:val="false"/>
          <w:color w:val="000000"/>
          <w:sz w:val="22"/>
        </w:rPr>
        <w:t>, that support international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 trade assistance” </w:t>
      </w:r>
      <w:r>
        <w:rPr>
          <w:rFonts w:ascii="Times New Roman" w:hAnsi="Times New Roman"/>
          <w:b w:val="false"/>
          <w:i w:val="false"/>
          <w:color w:val="000000"/>
          <w:sz w:val="22"/>
        </w:rPr>
        <w:t>means financial assistance provided for marketing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domestic trade assistance, export trade assistance, and market trade assistance provided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representative” </w:t>
      </w:r>
      <w:r>
        <w:rPr>
          <w:rFonts w:ascii="Times New Roman" w:hAnsi="Times New Roman"/>
          <w:b w:val="false"/>
          <w:i w:val="false"/>
          <w:color w:val="000000"/>
          <w:sz w:val="22"/>
        </w:rPr>
        <w:t>means a contracted representative of an exporter with authority to consummate a sales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mission” </w:t>
      </w:r>
      <w:r>
        <w:rPr>
          <w:rFonts w:ascii="Times New Roman" w:hAnsi="Times New Roman"/>
          <w:b w:val="false"/>
          <w:i w:val="false"/>
          <w:color w:val="000000"/>
          <w:sz w:val="22"/>
        </w:rPr>
        <w:t>means a mission event led by the authority or designated representative that includes advanced operational and logistical planning, scheduled individualized appointments with prequalified prospects interested in exporters’ products or services, and background information on such prospects.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show” </w:t>
      </w:r>
      <w:r>
        <w:rPr>
          <w:rFonts w:ascii="Times New Roman" w:hAnsi="Times New Roman"/>
          <w:b w:val="false"/>
          <w:i w:val="false"/>
          <w:color w:val="000000"/>
          <w:sz w:val="22"/>
        </w:rPr>
        <w:t>means an event attended by an employee or sales representative of an exporter for the purposes of exhibiting the exporter’s products or services to increase international sales opportunities.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9653C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Financial assistance in the form of grants is available to exporters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exporter employs fewer than 500 individuals, 75 percent or more of whom are employed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exporter is new to exporting, targeting a new international market, or promoting a new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exporter does not have a history of noncompliance with agreements with the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exporter does not have a record of violations of the law that over a period of time tends to show a consistent pattern or that establishes intentional, criminal, or reckless conduct in violation of such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To be eligible for domestic trade assistance or export trade assistance, exporters must meet the following additional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exporter has at least one full-time employee or sales representative who will participate in a trade show or trade 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exporter provides proof of deposit or an executed payment agreement for a trade show or payment of a trade mission participation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To be eligible for market trade assistance, an exporter must document intent to procure marketing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9653C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and ineligible expenses. </w:t>
      </w:r>
      <w:r>
        <w:rPr>
          <w:rFonts w:ascii="Times New Roman" w:hAnsi="Times New Roman"/>
          <w:b w:val="false"/>
          <w:i w:val="false"/>
          <w:color w:val="000000"/>
          <w:sz w:val="22"/>
        </w:rPr>
        <w:t>Only eligible expenses identified in this rule will be reimbursed with financial assistance provided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Trade shows. </w:t>
      </w:r>
      <w:r>
        <w:rPr>
          <w:rFonts w:ascii="Times New Roman" w:hAnsi="Times New Roman"/>
          <w:b w:val="false"/>
          <w:i w:val="false"/>
          <w:color w:val="000000"/>
          <w:sz w:val="22"/>
        </w:rPr>
        <w:t>The following trade show expenses are eligible for domestic trade assistance and export trade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Space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Booth construction at show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Booth equipment or furniture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Shipping costs associated with shipment of equipment or exhibit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Booth utility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Interpreter fees during the trade show.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Trade missions. </w:t>
      </w:r>
      <w:r>
        <w:rPr>
          <w:rFonts w:ascii="Times New Roman" w:hAnsi="Times New Roman"/>
          <w:b w:val="false"/>
          <w:i w:val="false"/>
          <w:color w:val="000000"/>
          <w:sz w:val="22"/>
        </w:rPr>
        <w:t>The following trade mission expenses are eligible for domestic trade assistance and export trade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Mission participation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Shipping costs associated with shipment of equipment or exhibit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Interpreter fees, if not included in the participation fee, and as needed during the trade 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Marketing services. </w:t>
      </w:r>
      <w:r>
        <w:rPr>
          <w:rFonts w:ascii="Times New Roman" w:hAnsi="Times New Roman"/>
          <w:b w:val="false"/>
          <w:i w:val="false"/>
          <w:color w:val="000000"/>
          <w:sz w:val="22"/>
        </w:rPr>
        <w:t>The following expenses are eligible for market trade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 translation, and localization of brochures or other product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 translation, and localization of international advertisement for a specific country/region.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compliance testing of an existing product for entry into an export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Website design and translation, search engine optimization, and localization for a specific international market or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Oversight, maintenance, or monitoring fee for search engine optimization (limited to the funding period during which financial assistance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Development of an e-commerce platform to accept international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International attorney fees for distributor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Costs for preparing an export readiness report, conducted by a contractor selected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The following expenses are not eligible for reimbursement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Travel expenses, including airfare.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Memberships or sponsorships.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Costs associated with attendance at conferences or virtual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Tabletop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Materials or exhibits that are not intended to increase international sales.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9653C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val="false"/>
          <w:color w:val="000000"/>
          <w:sz w:val="22"/>
        </w:rPr>
        <w:t>An eligible applicant shall submit an application in the form and content required by the authority. Information on submitting an application is available on the authority’s website. For domestic trade assistance and export trade assistance, an eligible applicant must apply prior to trade mission participation or trade show participation. For market trade assistance, an eligible applicant must apply prior to work beginning for marketing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val="false"/>
          <w:color w:val="000000"/>
          <w:sz w:val="22"/>
        </w:rPr>
        <w:t>Complete applications will be reviewed in the order received by the authority. Eligible applicants will be funded on a first-come, first-served basis to the extent funds are available. The authority may deny applications that exceed available funds or may defer approval of an application until additional funds become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val="false"/>
          <w:color w:val="000000"/>
          <w:sz w:val="22"/>
        </w:rPr>
        <w:t>The authority will not approve financial assistance for an eligible applicant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More than three times total in the same fiscal year for domestic trade assistance or export trade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once in the same fiscal year for market trade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More than once for the same marketing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participation in the same trade show more than two times after January 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9653C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261—72.5</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val="false"/>
          <w:color w:val="000000"/>
          <w:sz w:val="22"/>
        </w:rPr>
        <w:t>Eligible applicants approved for financial assistance must enter into a contract with the authority prior to participating in a trade show or trade mission or prior to incurring expenses for marketing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val="false"/>
          <w:color w:val="000000"/>
          <w:sz w:val="22"/>
        </w:rPr>
        <w:t>Payments will be made by the authority on a reimbursement basis. An exporter shall submit documentation acceptable to the authority of paid expenses. A complete report of activities the financial assistance supported shall be submitted before final reimbursement. Reimbursement shall not exceed 75 percent of eligible expenses. Total reimbursement shall not exceed $8,000 per event or marketing services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that receives financial assistance shall submit any information reasonably requested by the authority in sufficient detail to verify compliance with the agreement entered pursuant to subrule </w:t>
      </w:r>
      <w:hyperlink r:id="rId8">
        <w:r>
          <w:rPr>
            <w:rStyle w:val="Hyperlink"/>
            <w:rFonts w:ascii="Times New Roman" w:hAnsi="Times New Roman"/>
            <w:b w:val="false"/>
            <w:i w:val="false"/>
            <w:color w:val="000000"/>
            <w:sz w:val="22"/>
          </w:rPr>
          <w:t>72.5(1)</w:t>
        </w:r>
      </w:hyperlink>
      <w:r>
        <w:rPr>
          <w:rFonts w:ascii="Times New Roman" w:hAnsi="Times New Roman"/>
          <w:b w:val="false"/>
          <w:i w:val="false"/>
          <w:color w:val="000000"/>
          <w:sz w:val="22"/>
        </w:rPr>
        <w:t xml:space="preserve"> or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9653C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15.108(2)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15.108(4)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7/1/88—published 7/27/88, effective 7/1/88]</w:t>
      </w:r>
    </w:p>
    <w:p>
      <w:pPr>
        <w:spacing w:before="0" w:after="0"/>
        <w:ind w:left="120"/>
        <w:jc w:val="center"/>
      </w:pPr>
      <w:r>
        <w:rPr>
          <w:rFonts w:ascii="Times New Roman" w:hAnsi="Times New Roman"/>
          <w:b w:val="false"/>
          <w:i w:val="false"/>
          <w:color w:val="000000"/>
          <w:sz w:val="21"/>
        </w:rPr>
        <w:t>[Filed emergency 8/19/88—published 9/7/88, effective 8/19/88]</w:t>
      </w:r>
    </w:p>
    <w:p>
      <w:pPr>
        <w:spacing w:before="0" w:after="0"/>
        <w:ind w:left="120"/>
        <w:jc w:val="center"/>
      </w:pPr>
      <w:r>
        <w:rPr>
          <w:rFonts w:ascii="Times New Roman" w:hAnsi="Times New Roman"/>
          <w:b w:val="false"/>
          <w:i w:val="false"/>
          <w:color w:val="000000"/>
          <w:sz w:val="21"/>
        </w:rPr>
        <w:t>[Filed 1/20/89, Notice 7/27/88—published 2/8/89, effective 3/15/89]</w:t>
      </w:r>
    </w:p>
    <w:p>
      <w:pPr>
        <w:spacing w:before="0" w:after="0"/>
        <w:ind w:left="120"/>
        <w:jc w:val="center"/>
      </w:pPr>
      <w:r>
        <w:rPr>
          <w:rFonts w:ascii="Times New Roman" w:hAnsi="Times New Roman"/>
          <w:b w:val="false"/>
          <w:i w:val="false"/>
          <w:color w:val="000000"/>
          <w:sz w:val="21"/>
        </w:rPr>
        <w:t>[Filed 1/18/91, Notice 12/12/90—published 2/6/91, effective 3/13/91]</w:t>
      </w:r>
    </w:p>
    <w:p>
      <w:pPr>
        <w:spacing w:before="0" w:after="0"/>
        <w:ind w:left="120"/>
        <w:jc w:val="center"/>
      </w:pPr>
      <w:r>
        <w:rPr>
          <w:rFonts w:ascii="Times New Roman" w:hAnsi="Times New Roman"/>
          <w:b w:val="false"/>
          <w:i w:val="false"/>
          <w:color w:val="000000"/>
          <w:sz w:val="21"/>
        </w:rPr>
        <w:t>[Filed emergency 7/19/91—published 8/7/91, effective 7/19/91]</w:t>
      </w:r>
    </w:p>
    <w:p>
      <w:pPr>
        <w:spacing w:before="0" w:after="0"/>
        <w:ind w:left="120"/>
        <w:jc w:val="center"/>
      </w:pPr>
      <w:r>
        <w:rPr>
          <w:rFonts w:ascii="Times New Roman" w:hAnsi="Times New Roman"/>
          <w:b w:val="false"/>
          <w:i w:val="false"/>
          <w:color w:val="000000"/>
          <w:sz w:val="21"/>
        </w:rPr>
        <w:t>[Filed 1/17/92, Notice 8/7/91—published 2/5/92, effective 3/11/92]</w:t>
      </w:r>
    </w:p>
    <w:p>
      <w:pPr>
        <w:spacing w:before="0" w:after="0"/>
        <w:ind w:left="120"/>
        <w:jc w:val="center"/>
      </w:pPr>
      <w:r>
        <w:rPr>
          <w:rFonts w:ascii="Times New Roman" w:hAnsi="Times New Roman"/>
          <w:b w:val="false"/>
          <w:i w:val="false"/>
          <w:color w:val="000000"/>
          <w:sz w:val="21"/>
        </w:rPr>
        <w:t>[Filed 3/25/93, Notice 1/6/93—published 4/14/93, effective 5/19/93]</w:t>
      </w:r>
    </w:p>
    <w:p>
      <w:pPr>
        <w:spacing w:before="0" w:after="0"/>
        <w:ind w:left="120"/>
        <w:jc w:val="center"/>
      </w:pPr>
      <w:r>
        <w:rPr>
          <w:rFonts w:ascii="Times New Roman" w:hAnsi="Times New Roman"/>
          <w:b w:val="false"/>
          <w:i w:val="false"/>
          <w:color w:val="000000"/>
          <w:sz w:val="21"/>
        </w:rPr>
        <w:t>[Filed emergency 9/23/94—published 10/12/94, effective 9/23/94]</w:t>
      </w:r>
    </w:p>
    <w:p>
      <w:pPr>
        <w:spacing w:before="0" w:after="0"/>
        <w:ind w:left="120"/>
        <w:jc w:val="center"/>
      </w:pPr>
      <w:r>
        <w:rPr>
          <w:rFonts w:ascii="Times New Roman" w:hAnsi="Times New Roman"/>
          <w:b w:val="false"/>
          <w:i w:val="false"/>
          <w:color w:val="000000"/>
          <w:sz w:val="21"/>
        </w:rPr>
        <w:t>[Filed emergency 5/19/95—published 6/7/95, effective 7/1/95]</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emergency 9/19/97 after Notice 8/13/97—published 10/8/97, effective 9/19/97]</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4/21/00, Notice 3/8/00—published 5/17/00, effective 6/21/00]</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9064B</w:t>
      </w:r>
      <w:r>
        <w:rPr>
          <w:rFonts w:ascii="Times New Roman" w:hAnsi="Times New Roman"/>
          <w:b w:val="false"/>
          <w:i w:val="false"/>
          <w:color w:val="000000"/>
          <w:sz w:val="21"/>
        </w:rPr>
        <w:t xml:space="preserve"> (Notice ARC 8833B, IAB 6/2/10)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4375C</w:t>
      </w:r>
      <w:r>
        <w:rPr>
          <w:rFonts w:ascii="Times New Roman" w:hAnsi="Times New Roman"/>
          <w:b w:val="false"/>
          <w:i w:val="false"/>
          <w:color w:val="000000"/>
          <w:sz w:val="21"/>
        </w:rPr>
        <w:t xml:space="preserve"> (Notice ARC 4203C, IAB 1/2/19)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9653C</w:t>
      </w:r>
      <w:r>
        <w:rPr>
          <w:rFonts w:ascii="Times New Roman" w:hAnsi="Times New Roman"/>
          <w:b w:val="false"/>
          <w:i w:val="false"/>
          <w:color w:val="000000"/>
          <w:sz w:val="21"/>
        </w:rPr>
        <w:t xml:space="preserve"> (Notice ARC 9425C, IAB 7/23/25)</w:t>
      </w:r>
      <w:r>
        <w:rPr>
          <w:rFonts w:ascii="Times New Roman" w:hAnsi="Times New Roman"/>
          <w:b w:val="false"/>
          <w:i w:val="false"/>
          <w:color w:val="000000"/>
          <w:sz w:val="21"/>
        </w:rPr>
        <w:t>, IAB 10/29/25, effective 12/3/25]</w:t>
      </w:r>
    </w:p>
    <w:sectPr>
      <w:footerReference r:id="rId1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rule/261.72.2.pdf" Type="http://schemas.openxmlformats.org/officeDocument/2006/relationships/hyperlink" Id="rId6"/>
    <Relationship TargetMode="External" Target="https://www.legis.iowa.gov/docs/iac/rule/261.72.3.pdf" Type="http://schemas.openxmlformats.org/officeDocument/2006/relationships/hyperlink" Id="rId7"/>
    <Relationship TargetMode="External" Target="https://www.legis.iowa.gov/docs/iac/rule/261.72.5.pdf" Type="http://schemas.openxmlformats.org/officeDocument/2006/relationships/hyperlink" Id="rId8"/>
    <Relationship TargetMode="External" Target="https://www.legis.iowa.gov/docs/ico/chapter/15.108.pdf" Type="http://schemas.openxmlformats.org/officeDocument/2006/relationships/hyperlink" Id="rId9"/>
    <Relationship TargetMode="External" Target="https://www.legis.iowa.gov/docs/ico/chapter/15.10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