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TARGETED JOBS WITHHOLDING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261—71.1</w:t>
      </w:r>
      <w:r>
        <w:rPr>
          <w:rFonts w:ascii="Times New Roman" w:hAnsi="Times New Roman"/>
          <w:b/>
          <w:i w:val="false"/>
          <w:color w:val="000000"/>
          <w:sz w:val="22"/>
        </w:rPr>
        <w:t xml:space="preserve">(403)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means the number of full-time equivalent positions at an employer as established by the authority and an employer using the employer’s payroll records as of the date an employer applies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“Countywide average wage” </w:t>
      </w:r>
      <w:r>
        <w:rPr>
          <w:rFonts w:ascii="Times New Roman" w:hAnsi="Times New Roman"/>
          <w:b w:val="false"/>
          <w:i w:val="false"/>
          <w:color w:val="000000"/>
          <w:sz w:val="22"/>
        </w:rPr>
        <w:t>means the average that the authority calculates using the most current four quarters of wage and employment information as provided in the quarterly covered wage and employment data report as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means a new, permanent, full-time equivalent position added to an employer’s payroll in excess of the employer’s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“Employer’s taxable capital investment” </w:t>
      </w:r>
      <w:r>
        <w:rPr>
          <w:rFonts w:ascii="Times New Roman" w:hAnsi="Times New Roman"/>
          <w:b w:val="false"/>
          <w:i w:val="false"/>
          <w:color w:val="000000"/>
          <w:sz w:val="22"/>
        </w:rPr>
        <w:t>means a capital investment in real property, including but not limited to the purchase of land and existing buildings and building construction included in the project, that is subject to taxation by the local taxing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non-part-time position for the number of hours or days per week considered to be full-time work for the kind of service or work performed for an employer. Typically, a full-time equivalent position requires 2,080 hours of work in a calendar year, including all paid holidays, vacations, sick time, and other paid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financial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match”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403.19A(3)</w:t>
        </w:r>
      </w:hyperlink>
      <w:r>
        <w:rPr>
          <w:rFonts w:ascii="Times New Roman" w:hAnsi="Times New Roman"/>
          <w:b w:val="false"/>
          <w:i/>
          <w:color w:val="000000"/>
          <w:sz w:val="22"/>
        </w:rPr>
        <w:t>“k”</w:t>
      </w:r>
      <w:r>
        <w:rPr>
          <w:rFonts w:ascii="Times New Roman" w:hAnsi="Times New Roman"/>
          <w:b w:val="false"/>
          <w:i w:val="false"/>
          <w:color w:val="000000"/>
          <w:sz w:val="22"/>
        </w:rPr>
        <w:t>(2). For the purposes of this definition, “cash” includes but is not limited to loans, forgivable loans or grants. For the purposes of this definition, “in-kind contributions” means contributions directly related to the project and includes but is not limited to the construction of private or public infrastructure or other amenities and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“Pilot project city”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activity or set of activities directly related to the start-up, location, modernization, or expansion of a business, and proposed in an application by a business, that will result in the accomplishment of the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For purposes of this definition, “long-term lease costs” means those costs incurred or expected to be incurred under a lease during the duration of a withholding agreement, provided that the cumulative cost for that period does not exceed the cost of the land and the third-party developer’s costs to build or renovate the building for the approved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job”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For the purposes of this definition, a position “at risk of elimination” includes a position that would be relocated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job”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“Withholding agreement”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261—71.2</w:t>
      </w:r>
      <w:r>
        <w:rPr>
          <w:rFonts w:ascii="Times New Roman" w:hAnsi="Times New Roman"/>
          <w:b/>
          <w:i w:val="false"/>
          <w:color w:val="000000"/>
          <w:sz w:val="22"/>
        </w:rPr>
        <w:t xml:space="preserve">(403) </w:t>
      </w:r>
      <w:r>
        <w:rPr>
          <w:rFonts w:ascii="Times New Roman" w:hAnsi="Times New Roman"/>
          <w:b/>
          <w:i w:val="false"/>
          <w:color w:val="000000"/>
          <w:sz w:val="22"/>
        </w:rPr>
        <w:t xml:space="preserve">Pilot project cities. </w:t>
      </w:r>
      <w:r>
        <w:rPr>
          <w:rFonts w:ascii="Times New Roman" w:hAnsi="Times New Roman"/>
          <w:b w:val="false"/>
          <w:i w:val="false"/>
          <w:color w:val="000000"/>
          <w:sz w:val="22"/>
        </w:rPr>
        <w:t xml:space="preserve">Pursuant to Iowa Code section </w:t>
      </w:r>
      <w:hyperlink r:id="rId16">
        <w:r>
          <w:rPr>
            <w:rStyle w:val="Hyperlink"/>
            <w:rFonts w:ascii="Times New Roman" w:hAnsi="Times New Roman"/>
            <w:b w:val="false"/>
            <w:i w:val="false"/>
            <w:color w:val="000000"/>
            <w:sz w:val="22"/>
          </w:rPr>
          <w:t>403.19A(2)</w:t>
        </w:r>
      </w:hyperlink>
      <w:r>
        <w:rPr>
          <w:rFonts w:ascii="Times New Roman" w:hAnsi="Times New Roman"/>
          <w:b w:val="false"/>
          <w:i w:val="false"/>
          <w:color w:val="000000"/>
          <w:sz w:val="22"/>
        </w:rPr>
        <w:t>, pilot project cities were identified by the authority based on applications received prior to October 1, 2006. The identified pilot project cities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Burlington.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Council Bluffs.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Fort Madison.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Keokuk.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Sioux 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261—71.3</w:t>
      </w:r>
      <w:r>
        <w:rPr>
          <w:rFonts w:ascii="Times New Roman" w:hAnsi="Times New Roman"/>
          <w:b/>
          <w:i w:val="false"/>
          <w:color w:val="000000"/>
          <w:sz w:val="22"/>
        </w:rPr>
        <w:t xml:space="preserve">(403) </w:t>
      </w:r>
      <w:r>
        <w:rPr>
          <w:rFonts w:ascii="Times New Roman" w:hAnsi="Times New Roman"/>
          <w:b/>
          <w:i w:val="false"/>
          <w:color w:val="000000"/>
          <w:sz w:val="22"/>
        </w:rPr>
        <w:t xml:space="preserve">Withholding agreements. </w:t>
      </w:r>
      <w:r>
        <w:rPr>
          <w:rFonts w:ascii="Times New Roman" w:hAnsi="Times New Roman"/>
          <w:b w:val="false"/>
          <w:i w:val="false"/>
          <w:color w:val="000000"/>
          <w:sz w:val="22"/>
        </w:rPr>
        <w:t xml:space="preserve">The authority and a pilot project city may enter into a withholding agreement pursuant to Iowa Code section </w:t>
      </w:r>
      <w:hyperlink r:id="rId17">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In addition to the items described in Iowa Code section </w:t>
      </w:r>
      <w:hyperlink r:id="rId18">
        <w:r>
          <w:rPr>
            <w:rStyle w:val="Hyperlink"/>
            <w:rFonts w:ascii="Times New Roman" w:hAnsi="Times New Roman"/>
            <w:b w:val="false"/>
            <w:i w:val="false"/>
            <w:color w:val="000000"/>
            <w:sz w:val="22"/>
          </w:rPr>
          <w:t>403.19A(3)</w:t>
        </w:r>
      </w:hyperlink>
      <w:r>
        <w:rPr>
          <w:rFonts w:ascii="Times New Roman" w:hAnsi="Times New Roman"/>
          <w:b w:val="false"/>
          <w:i/>
          <w:color w:val="000000"/>
          <w:sz w:val="22"/>
        </w:rPr>
        <w:t>“d,”</w:t>
      </w:r>
      <w:r>
        <w:rPr>
          <w:rFonts w:ascii="Times New Roman" w:hAnsi="Times New Roman"/>
          <w:b w:val="false"/>
          <w:i w:val="false"/>
          <w:color w:val="000000"/>
          <w:sz w:val="22"/>
        </w:rPr>
        <w:t xml:space="preserve"> a withholding agreement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A list of all other incentives or financial assistance the employer has requested or is receiving from other federal, state, or local economic development programs, including loans, grants, forgivable loans, and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The total amount of withholding tax credits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total number of created jobs and retained jobs included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The required countywide average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total qualifying investment included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The total required matching local financial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The term of the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71.3(8)</w:t>
      </w:r>
      <w:r>
        <w:rPr>
          <w:rFonts w:ascii="Times New Roman" w:hAnsi="Times New Roman"/>
          <w:b w:val="false"/>
          <w:i w:val="false"/>
          <w:color w:val="000000"/>
          <w:sz w:val="22"/>
        </w:rPr>
        <w:t> </w:t>
      </w:r>
      <w:r>
        <w:rPr>
          <w:rFonts w:ascii="Times New Roman" w:hAnsi="Times New Roman"/>
          <w:b w:val="false"/>
          <w:i w:val="false"/>
          <w:color w:val="000000"/>
          <w:sz w:val="22"/>
        </w:rPr>
        <w:t xml:space="preserve">Any terms deemed necessary by the authority to effect compliance with the requirements of Iowa Code section </w:t>
      </w:r>
      <w:hyperlink r:id="rId19">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261—71.4</w:t>
      </w:r>
      <w:r>
        <w:rPr>
          <w:rFonts w:ascii="Times New Roman" w:hAnsi="Times New Roman"/>
          <w:b/>
          <w:i w:val="false"/>
          <w:color w:val="000000"/>
          <w:sz w:val="22"/>
        </w:rPr>
        <w:t xml:space="preserve">(403) </w:t>
      </w:r>
      <w:r>
        <w:rPr>
          <w:rFonts w:ascii="Times New Roman" w:hAnsi="Times New Roman"/>
          <w:b/>
          <w:i w:val="false"/>
          <w:color w:val="000000"/>
          <w:sz w:val="22"/>
        </w:rPr>
        <w:t xml:space="preserve">Project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Request for board approval form. </w:t>
      </w:r>
      <w:r>
        <w:rPr>
          <w:rFonts w:ascii="Times New Roman" w:hAnsi="Times New Roman"/>
          <w:b w:val="false"/>
          <w:i w:val="false"/>
          <w:color w:val="000000"/>
          <w:sz w:val="22"/>
        </w:rPr>
        <w:t>To request board approval of a proposed withholding agreement, an employer and pilot project city shall utilize a standardized application developed by the authority. The form will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project, including how the pilot project city will utilize withholding funds generated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number of targeted jobs in the project, the wages of the targeted jobs, and the types of jobs created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budget for the project, showing the total project cost, the amount of local matching funds committed to the project, and the amount of withholding funds the pilot project city will receive from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letter or resolution of support from the local government showing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Timing of submittal. </w:t>
      </w:r>
      <w:r>
        <w:rPr>
          <w:rFonts w:ascii="Times New Roman" w:hAnsi="Times New Roman"/>
          <w:b w:val="false"/>
          <w:i w:val="false"/>
          <w:color w:val="000000"/>
          <w:sz w:val="22"/>
        </w:rPr>
        <w:t>Requests for board approval of a proposed withholding agreement may be submitted at any time. The authority will review requests for approval of a proposed withholding agreement in as timely a manner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The authority will not accept applications for projects that have been initiated or will be initiated prior to board consideration of the employer’s application for the program unless the employer establishes that not initiating the project prior to board consideration of the application would result in undue hardship or that extenuating circumstances necessitate initiating the project prior to board consideration of the employer’s application for the program. Whether an undue hardship or extenuating circumstance exists will be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may indicate that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of construction of new or expanded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start of rehabilitation of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purchase or leasing of existing buildings;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installation of new machinery and equipment or new computers to be used in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indicate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land or signing an option to purchase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Acquisition of a business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prior to the award date are not eligible qualifying investment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requests for approval. </w:t>
      </w:r>
      <w:r>
        <w:rPr>
          <w:rFonts w:ascii="Times New Roman" w:hAnsi="Times New Roman"/>
          <w:b w:val="false"/>
          <w:i w:val="false"/>
          <w:color w:val="000000"/>
          <w:sz w:val="22"/>
        </w:rPr>
        <w:t xml:space="preserve">The board, on behalf of the authority, may approve or deny a withholding agreement according to the provisions of Iowa Code section </w:t>
      </w:r>
      <w:hyperlink r:id="rId20">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and this chapter. A pilot project city and employer will be notified in writing of the board’s decision regarding the proposed withholding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261—71.5</w:t>
      </w:r>
      <w:r>
        <w:rPr>
          <w:rFonts w:ascii="Times New Roman" w:hAnsi="Times New Roman"/>
          <w:b/>
          <w:i w:val="false"/>
          <w:color w:val="000000"/>
          <w:sz w:val="22"/>
        </w:rPr>
        <w:t xml:space="preserve">(403)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report required by Iowa Code section </w:t>
      </w:r>
      <w:hyperlink r:id="rId21">
        <w:r>
          <w:rPr>
            <w:rStyle w:val="Hyperlink"/>
            <w:rFonts w:ascii="Times New Roman" w:hAnsi="Times New Roman"/>
            <w:b w:val="false"/>
            <w:i w:val="false"/>
            <w:color w:val="000000"/>
            <w:sz w:val="22"/>
          </w:rPr>
          <w:t>403.19A(3)</w:t>
        </w:r>
      </w:hyperlink>
      <w:r>
        <w:rPr>
          <w:rFonts w:ascii="Times New Roman" w:hAnsi="Times New Roman"/>
          <w:b w:val="false"/>
          <w:i/>
          <w:color w:val="000000"/>
          <w:sz w:val="22"/>
        </w:rPr>
        <w:t>“c”</w:t>
      </w:r>
      <w:r>
        <w:rPr>
          <w:rFonts w:ascii="Times New Roman" w:hAnsi="Times New Roman"/>
          <w:b w:val="false"/>
          <w:i w:val="false"/>
          <w:color w:val="000000"/>
          <w:sz w:val="22"/>
        </w:rPr>
        <w:t xml:space="preserve">(3) shall be submitted by the employer by September 1 covering the prior fiscal year (July 1 to June 30). The authority will verify job creation or retention using the method described in rule </w:t>
      </w:r>
      <w:hyperlink r:id="rId22">
        <w:r>
          <w:rPr>
            <w:rStyle w:val="Hyperlink"/>
            <w:rFonts w:ascii="Times New Roman" w:hAnsi="Times New Roman"/>
            <w:b w:val="false"/>
            <w:i w:val="false"/>
            <w:color w:val="000000"/>
            <w:sz w:val="22"/>
          </w:rPr>
          <w:t>261—71.6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request additional reports from pilot project cities as necessary to determine the status of the targeted jobs withholding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The pilot project city or employer shall provide the following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records that correspond to the quarterly report provided by the pilot project city for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substantiating the total amount of qualifying investment made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substantiating the total amount of local financial support made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and receipts under a withholding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261—71.6</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The authority will count created and retained jobs using a base employment analysis comparing the base employment level to employment at another date. The employer’s base employment level will be established at the time of application for the program. The number of jobs the employer has pledged to create shall be in addition to the base employment level. Retained jobs may be included in the base employment level as established at the time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employment level will include the number of full-time equivalent positions employed at the project location. If the project occurs at more than one physical location, the employer’s base employment level will include the total number of full-time equivalent positions working at the identified locations. Base employment level may include the employer’s full-time equivalent positions in this state as identified by the authority that are not located at the 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employer enters multiple withholding agreements for projects at the same location, the base employment level will be calculated by using the payroll document from the oldest withholding agreement that is open. Job obligations from each new withholding agreement will be added to this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collect payroll documents to calculate and verify the base employment level used in each withholding agreement. Payroll documents must include a name or employee identification number and the hourly rate of pay for all full-time equivalent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base employment level includes retained jobs, the authority will require an employer to verify that a job is at risk. Such verification may include the signed statement of an officer of the employer, documentation that the employer is actively exploring other sites for the project, or any other information the authority may reasonably require during the application review process to establish that a job is at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At the project completion date, during the maintenance period, and following the maintenance period completion date, 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r>
        <w:rPr>
          <w:rFonts w:ascii="Times New Roman" w:hAnsi="Times New Roman"/>
          <w:b w:val="false"/>
          <w:i w:val="false"/>
          <w:color w:val="000000"/>
          <w:sz w:val="22"/>
        </w:rPr>
        <w:t>Only a full-time equivalent position filled by an individual will be considered an employee of the employer for the purpose of establishing the base employment level, retained jobs, or created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employees at the facility do not typically work 40 hours per week, the employer will be required to provide documentation outlining what the employer considers a full-time workweek and how the employer’s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An employer’s leased or contract employee may be included in the base employment level, as a created job, or as a retained job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has a legally binding contract with a third-party provider to provide the leased or contract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employer specifically requires the third-party provider to pay the wages required for the time period required by the authority as conditions of the approval of a withholding agreement with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employer specifically requires the third-party provider to submit payroll records to the authority, in form and content and as frequently as required by the authority, for purposes of verifying the employer’s job creation/retention.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employer specifically authorizes the authority or its authorized representatives to access the third-party provider’s records related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agrees to be contractually liable to the authority for the performance or nonperformance of the third-party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color w:val="000000"/>
          <w:sz w:val="22"/>
        </w:rPr>
        <w:t xml:space="preserve">Remote employees. </w:t>
      </w:r>
      <w:r>
        <w:rPr>
          <w:rFonts w:ascii="Times New Roman" w:hAnsi="Times New Roman"/>
          <w:b w:val="false"/>
          <w:i w:val="false"/>
          <w:color w:val="000000"/>
          <w:sz w:val="22"/>
        </w:rPr>
        <w:t>Employees with a reasonable connection to a project location who work remotely may be included in the base employment level, as a created job, or as a retained job as established by the authority at the time of application. To determine whether employees who work remotely should be included, the authority will consider an employer’s policies on establishing remote work locations for employees, reporting structures,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as a created job, or as a retained job pursuant to this subrule shall be solely within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color w:val="000000"/>
          <w:sz w:val="22"/>
        </w:rPr>
        <w:t xml:space="preserve">Wages. </w:t>
      </w:r>
      <w:r>
        <w:rPr>
          <w:rFonts w:ascii="Times New Roman" w:hAnsi="Times New Roman"/>
          <w:b w:val="false"/>
          <w:i w:val="false"/>
          <w:color w:val="000000"/>
          <w:sz w:val="22"/>
        </w:rPr>
        <w:t>Jobs that are not paid the countywide average wage will not be counted toward an employer’s job creation or job retention obligations. 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261—71.7</w:t>
      </w:r>
      <w:r>
        <w:rPr>
          <w:rFonts w:ascii="Times New Roman" w:hAnsi="Times New Roman"/>
          <w:b/>
          <w:i w:val="false"/>
          <w:color w:val="000000"/>
          <w:sz w:val="22"/>
        </w:rPr>
        <w:t xml:space="preserve">(403)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withholding agreements entered into on or after July 1, 2013. Withholding agreements entered into prior to July 1, 2013, shall be governed by this chapter as it existed prior to the enactment of </w:t>
      </w:r>
      <w:r>
        <w:rPr>
          <w:rFonts w:ascii="Times New Roman" w:hAnsi="Times New Roman"/>
          <w:b w:val="false"/>
          <w:i w:val="false"/>
          <w:color w:val="000000"/>
          <w:sz w:val="22"/>
        </w:rPr>
        <w:t>2013 Iowa Acts, Senate File 433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7/19/06—published 8/16/06, effective 7/19/06]</w:t>
      </w:r>
    </w:p>
    <w:p>
      <w:pPr>
        <w:spacing w:before="0" w:after="0"/>
        <w:ind w:left="120"/>
        <w:jc w:val="center"/>
      </w:pPr>
      <w:r>
        <w:rPr>
          <w:rFonts w:ascii="Times New Roman" w:hAnsi="Times New Roman"/>
          <w:b w:val="false"/>
          <w:i w:val="false"/>
          <w:color w:val="000000"/>
          <w:sz w:val="21"/>
        </w:rPr>
        <w:t>[Filed 9/22/06, Notice 8/16/06—published 10/11/06, effective 11/15/06]</w:t>
      </w:r>
    </w:p>
    <w:p>
      <w:pPr>
        <w:spacing w:before="0" w:after="0"/>
        <w:ind w:left="120"/>
        <w:jc w:val="center"/>
      </w:pPr>
      <w:r>
        <w:rPr>
          <w:rFonts w:ascii="Times New Roman" w:hAnsi="Times New Roman"/>
          <w:b w:val="false"/>
          <w:i w:val="false"/>
          <w:color w:val="000000"/>
          <w:sz w:val="21"/>
        </w:rPr>
        <w:t>[Filed ARC 7561B</w:t>
      </w:r>
      <w:r>
        <w:rPr>
          <w:rFonts w:ascii="Times New Roman" w:hAnsi="Times New Roman"/>
          <w:b w:val="false"/>
          <w:i w:val="false"/>
          <w:color w:val="000000"/>
          <w:sz w:val="21"/>
        </w:rPr>
        <w:t xml:space="preserve"> (Notice ARC 7249B, IAB 10/8/08)</w:t>
      </w:r>
      <w:r>
        <w:rPr>
          <w:rFonts w:ascii="Times New Roman" w:hAnsi="Times New Roman"/>
          <w:b w:val="false"/>
          <w:i w:val="false"/>
          <w:color w:val="000000"/>
          <w:sz w:val="21"/>
        </w:rPr>
        <w:t>, IAB 2/11/09, effective 3/18/09]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3/25/09]</w:t>
      </w:r>
    </w:p>
    <w:p>
      <w:pPr>
        <w:spacing w:before="0" w:after="0"/>
        <w:ind w:left="120"/>
        <w:jc w:val="center"/>
      </w:pPr>
      <w:r>
        <w:rPr>
          <w:rFonts w:ascii="Times New Roman" w:hAnsi="Times New Roman"/>
          <w:b w:val="false"/>
          <w:i w:val="false"/>
          <w:color w:val="000000"/>
          <w:sz w:val="21"/>
        </w:rPr>
        <w:t>[Filed Emergency ARC 7847B, IAB 6/17/09, effective 5/21/09]</w:t>
      </w:r>
      <w:r>
        <w:br/>
      </w:r>
      <w:r>
        <w:rPr>
          <w:rFonts w:ascii="Times New Roman" w:hAnsi="Times New Roman"/>
          <w:b w:val="false"/>
          <w:i w:val="false"/>
          <w:color w:val="000000"/>
          <w:sz w:val="21"/>
        </w:rPr>
        <w:t>[Filed Emergency ARC 7848B, IAB 6/17/09, effective 7/1/09]</w:t>
      </w:r>
    </w:p>
    <w:p>
      <w:pPr>
        <w:spacing w:before="0" w:after="0"/>
        <w:ind w:left="120"/>
        <w:jc w:val="center"/>
      </w:pPr>
      <w:r>
        <w:rPr>
          <w:rFonts w:ascii="Times New Roman" w:hAnsi="Times New Roman"/>
          <w:b w:val="false"/>
          <w:i w:val="false"/>
          <w:color w:val="000000"/>
          <w:sz w:val="21"/>
        </w:rPr>
        <w:t>[Filed ARC 8147B</w:t>
      </w:r>
      <w:r>
        <w:rPr>
          <w:rFonts w:ascii="Times New Roman" w:hAnsi="Times New Roman"/>
          <w:b w:val="false"/>
          <w:i w:val="false"/>
          <w:color w:val="000000"/>
          <w:sz w:val="21"/>
        </w:rPr>
        <w:t xml:space="preserve"> (Notice ARC 7846B,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Emergency After Notice ARC 1373C</w:t>
      </w:r>
      <w:r>
        <w:rPr>
          <w:rFonts w:ascii="Times New Roman" w:hAnsi="Times New Roman"/>
          <w:b w:val="false"/>
          <w:i w:val="false"/>
          <w:color w:val="000000"/>
          <w:sz w:val="21"/>
        </w:rPr>
        <w:t xml:space="preserve"> (Notice ARC 1248C, IAB 12/25/13)</w:t>
      </w:r>
      <w:r>
        <w:rPr>
          <w:rFonts w:ascii="Times New Roman" w:hAnsi="Times New Roman"/>
          <w:b w:val="false"/>
          <w:i w:val="false"/>
          <w:color w:val="000000"/>
          <w:sz w:val="21"/>
        </w:rPr>
        <w:t>, IAB 3/19/14, effective 2/24/14]</w:t>
      </w:r>
    </w:p>
    <w:p>
      <w:pPr>
        <w:spacing w:before="0" w:after="0"/>
        <w:ind w:left="120"/>
        <w:jc w:val="center"/>
      </w:pPr>
      <w:r>
        <w:rPr>
          <w:rFonts w:ascii="Times New Roman" w:hAnsi="Times New Roman"/>
          <w:b w:val="false"/>
          <w:i w:val="false"/>
          <w:color w:val="000000"/>
          <w:sz w:val="21"/>
        </w:rPr>
        <w:t>[Filed ARC 4512C</w:t>
      </w:r>
      <w:r>
        <w:rPr>
          <w:rFonts w:ascii="Times New Roman" w:hAnsi="Times New Roman"/>
          <w:b w:val="false"/>
          <w:i w:val="false"/>
          <w:color w:val="000000"/>
          <w:sz w:val="21"/>
        </w:rPr>
        <w:t xml:space="preserve"> (Notice ARC 4355C,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4990C</w:t>
      </w:r>
      <w:r>
        <w:rPr>
          <w:rFonts w:ascii="Times New Roman" w:hAnsi="Times New Roman"/>
          <w:b w:val="false"/>
          <w:i w:val="false"/>
          <w:color w:val="000000"/>
          <w:sz w:val="21"/>
        </w:rPr>
        <w:t xml:space="preserve"> (Notice ARC 4737C, IAB 11/6/19)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0001D</w:t>
      </w:r>
      <w:r>
        <w:rPr>
          <w:rFonts w:ascii="Times New Roman" w:hAnsi="Times New Roman"/>
          <w:b w:val="false"/>
          <w:i w:val="false"/>
          <w:color w:val="000000"/>
          <w:sz w:val="21"/>
        </w:rPr>
        <w:t xml:space="preserve"> (Notice ARC 9645C, IAB 10/29/25)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The March 18, 2009, effective date of ARC 7561B was delayed 70 days by the Administrative Rules Review Committee at its meeting held March 6, 2009.</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403.19A.pdf" Type="http://schemas.openxmlformats.org/officeDocument/2006/relationships/hyperlink" Id="rId7"/>
    <Relationship TargetMode="External" Target="https://www.legis.iowa.gov/docs/ico/chapter/403.19A.pdf" Type="http://schemas.openxmlformats.org/officeDocument/2006/relationships/hyperlink" Id="rId8"/>
    <Relationship TargetMode="External" Target="https://www.legis.iowa.gov/docs/ico/chapter/403.19A.pdf" Type="http://schemas.openxmlformats.org/officeDocument/2006/relationships/hyperlink" Id="rId9"/>
    <Relationship TargetMode="External" Target="https://www.legis.iowa.gov/docs/ico/chapter/403.19A.pdf" Type="http://schemas.openxmlformats.org/officeDocument/2006/relationships/hyperlink" Id="rId10"/>
    <Relationship TargetMode="External" Target="https://www.legis.iowa.gov/docs/ico/chapter/403.19A.pdf" Type="http://schemas.openxmlformats.org/officeDocument/2006/relationships/hyperlink" Id="rId11"/>
    <Relationship TargetMode="External" Target="https://www.legis.iowa.gov/docs/ico/chapter/403.19A.pdf" Type="http://schemas.openxmlformats.org/officeDocument/2006/relationships/hyperlink" Id="rId12"/>
    <Relationship TargetMode="External" Target="https://www.legis.iowa.gov/docs/ico/chapter/403.19A.pdf" Type="http://schemas.openxmlformats.org/officeDocument/2006/relationships/hyperlink" Id="rId13"/>
    <Relationship TargetMode="External" Target="https://www.legis.iowa.gov/docs/ico/chapter/403.19A.pdf" Type="http://schemas.openxmlformats.org/officeDocument/2006/relationships/hyperlink" Id="rId14"/>
    <Relationship TargetMode="External" Target="https://www.legis.iowa.gov/docs/ico/chapter/403.19A.pdf" Type="http://schemas.openxmlformats.org/officeDocument/2006/relationships/hyperlink" Id="rId15"/>
    <Relationship TargetMode="External" Target="https://www.legis.iowa.gov/docs/ico/chapter/403.19A.pdf" Type="http://schemas.openxmlformats.org/officeDocument/2006/relationships/hyperlink" Id="rId16"/>
    <Relationship TargetMode="External" Target="https://www.legis.iowa.gov/docs/ico/chapter/403.19A.pdf" Type="http://schemas.openxmlformats.org/officeDocument/2006/relationships/hyperlink" Id="rId17"/>
    <Relationship TargetMode="External" Target="https://www.legis.iowa.gov/docs/ico/chapter/403.19A.pdf" Type="http://schemas.openxmlformats.org/officeDocument/2006/relationships/hyperlink" Id="rId18"/>
    <Relationship TargetMode="External" Target="https://www.legis.iowa.gov/docs/ico/chapter/403.19A.pdf" Type="http://schemas.openxmlformats.org/officeDocument/2006/relationships/hyperlink" Id="rId19"/>
    <Relationship TargetMode="External" Target="https://www.legis.iowa.gov/docs/ico/chapter/403.19A.pdf" Type="http://schemas.openxmlformats.org/officeDocument/2006/relationships/hyperlink" Id="rId20"/>
    <Relationship TargetMode="External" Target="https://www.legis.iowa.gov/docs/ico/chapter/403.19A.pdf" Type="http://schemas.openxmlformats.org/officeDocument/2006/relationships/hyperlink" Id="rId21"/>
    <Relationship TargetMode="External" Target="https://www.legis.iowa.gov/docs/iac/rule/261.71.6.pdf" Type="http://schemas.openxmlformats.org/officeDocument/2006/relationships/hyperlink" Id="rId22"/>
    <Relationship TargetMode="External" Target="https://www.legis.iowa.gov/docs/ico/chapter/403.19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