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HIGH QUALITY JOBS PROGRAM (HQJP)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261—68.1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15.327(1)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an application for project completion assistance or tax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15.327(2)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15.327(3)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“Brownfield site”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15.291(2)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sole proprietorship, partnership,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15.327(6)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15.327(8)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that meets the conditions of Iowa Code section </w:t>
      </w:r>
      <w:hyperlink r:id="rId12">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impact ratio”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15.327(11)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“Forgivable loan” </w:t>
      </w:r>
      <w:r>
        <w:rPr>
          <w:rFonts w:ascii="Times New Roman" w:hAnsi="Times New Roman"/>
          <w:b w:val="false"/>
          <w:i w:val="false"/>
          <w:color w:val="000000"/>
          <w:sz w:val="22"/>
        </w:rPr>
        <w:t>is a loan for which repayment is eliminated in part or entirely if the borrower satisfies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15.327(12)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“Grayfield site”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15.291(4)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quality jobs” </w:t>
      </w:r>
      <w:r>
        <w:rPr>
          <w:rFonts w:ascii="Times New Roman" w:hAnsi="Times New Roman"/>
          <w:b w:val="false"/>
          <w:i w:val="false"/>
          <w:color w:val="000000"/>
          <w:sz w:val="22"/>
        </w:rPr>
        <w:t xml:space="preserve">means created or retained jobs that meet the applicable wage requirements established in Iowa Code section </w:t>
      </w:r>
      <w:hyperlink r:id="rId16">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“Laborshed area” </w:t>
      </w:r>
      <w:r>
        <w:rPr>
          <w:rFonts w:ascii="Times New Roman" w:hAnsi="Times New Roman"/>
          <w:b w:val="false"/>
          <w:i w:val="false"/>
          <w:color w:val="000000"/>
          <w:sz w:val="22"/>
        </w:rPr>
        <w:t>means the geographic area surrounding an employment center from which the employment center draws its commuting workers as defined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“Laborshed wage”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15.327(15)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 xml:space="preserve">means funds provided that must be repaid with term, interest rate, and other conditions specified in an agreement entered into pursuant to Iowa Code section </w:t>
      </w:r>
      <w:hyperlink r:id="rId19">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15.327(17)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15.327(18)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“Modernization project” </w:t>
      </w:r>
      <w:r>
        <w:rPr>
          <w:rFonts w:ascii="Times New Roman" w:hAnsi="Times New Roman"/>
          <w:b w:val="false"/>
          <w:i w:val="false"/>
          <w:color w:val="000000"/>
          <w:sz w:val="22"/>
        </w:rPr>
        <w:t xml:space="preserve">means a project that will result in increased skills and wages for current employees and that does not involve created or retained jobs.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15.327(19)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15.327(21)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assistance”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15.327(22)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15.327(23)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period”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15.327(24)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wage threshold”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15.327(26)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job”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15.327(27)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“Retention-only project” </w:t>
      </w:r>
      <w:r>
        <w:rPr>
          <w:rFonts w:ascii="Times New Roman" w:hAnsi="Times New Roman"/>
          <w:b w:val="false"/>
          <w:i w:val="false"/>
          <w:color w:val="000000"/>
          <w:sz w:val="22"/>
        </w:rPr>
        <w:t>means a project that involves only retained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Community approval and local match. </w:t>
      </w:r>
      <w:r>
        <w:rPr>
          <w:rFonts w:ascii="Times New Roman" w:hAnsi="Times New Roman"/>
          <w:b w:val="false"/>
          <w:i w:val="false"/>
          <w:color w:val="000000"/>
          <w:sz w:val="22"/>
        </w:rPr>
        <w:t xml:space="preserve">Community approval of the project by ordinance or resolution is required as specified in Iowa Code section </w:t>
      </w:r>
      <w:hyperlink r:id="rId29">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“a.”</w:t>
      </w:r>
      <w:r>
        <w:rPr>
          <w:rFonts w:ascii="Times New Roman" w:hAnsi="Times New Roman"/>
          <w:b w:val="false"/>
          <w:i w:val="false"/>
          <w:color w:val="000000"/>
          <w:sz w:val="22"/>
        </w:rPr>
        <w:t xml:space="preserve"> Local match may be required from the community or other relevant entity pursuant to criteria established by the board. The board will periodically approve such criteria to reflect meaningful types and amounts of local match that may be provided. The criteria established by the board may include but not be limited to when local match is required, entities that may provide local match, and acceptable amounts and forms of local match.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Relocations and reductions in operations. </w:t>
      </w:r>
      <w:r>
        <w:rPr>
          <w:rFonts w:ascii="Times New Roman" w:hAnsi="Times New Roman"/>
          <w:b w:val="false"/>
          <w:i w:val="false"/>
          <w:color w:val="000000"/>
          <w:sz w:val="22"/>
        </w:rPr>
        <w:t xml:space="preserve">The authority will determine whether a business is ineligible due to a relocation or reduction in operations pursuant to Iowa Code section </w:t>
      </w:r>
      <w:hyperlink r:id="rId30">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w:t>
      </w:r>
      <w:r>
        <w:rPr>
          <w:rFonts w:ascii="Times New Roman" w:hAnsi="Times New Roman"/>
          <w:b w:val="false"/>
          <w:i w:val="false"/>
          <w:color w:val="000000"/>
          <w:sz w:val="22"/>
        </w:rPr>
        <w:t> </w:t>
      </w:r>
      <w:r>
        <w:rPr>
          <w:rFonts w:ascii="Times New Roman" w:hAnsi="Times New Roman"/>
          <w:b w:val="false"/>
          <w:i/>
          <w:color w:val="000000"/>
          <w:sz w:val="22"/>
        </w:rPr>
        <w:t xml:space="preserve">Retail or service businesses. </w:t>
      </w:r>
      <w:r>
        <w:rPr>
          <w:rFonts w:ascii="Times New Roman" w:hAnsi="Times New Roman"/>
          <w:b w:val="false"/>
          <w:i w:val="false"/>
          <w:color w:val="000000"/>
          <w:sz w:val="22"/>
        </w:rPr>
        <w:t xml:space="preserve">For the purposes of determining whether a business is an ineligible retail business pursuant to Iowa Code section </w:t>
      </w:r>
      <w:hyperlink r:id="rId31">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“f,”</w:t>
      </w:r>
      <w:r>
        <w:rPr>
          <w:rFonts w:ascii="Times New Roman" w:hAnsi="Times New Roman"/>
          <w:b w:val="false"/>
          <w:i w:val="false"/>
          <w:color w:val="000000"/>
          <w:sz w:val="22"/>
        </w:rPr>
        <w:t xml:space="preserve"> “retail business” means any business engaged in the business of sale at retail of tangible personal property or taxable services in this state or online. “Sale at retail” means the same as defined in Iowa Code section </w:t>
      </w:r>
      <w:hyperlink r:id="rId32">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Any business obligated to collect sales or use tax under Iowa Code chapter </w:t>
      </w:r>
      <w:hyperlink r:id="rId33">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is an ineligible retail business. A service business is not eligible for the program unless a significant proportion of its sales, as determined by the authority, are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w:t>
      </w:r>
      <w:r>
        <w:rPr>
          <w:rFonts w:ascii="Times New Roman" w:hAnsi="Times New Roman"/>
          <w:b w:val="false"/>
          <w:i w:val="false"/>
          <w:color w:val="000000"/>
          <w:sz w:val="22"/>
        </w:rPr>
        <w:t> </w:t>
      </w:r>
      <w:r>
        <w:rPr>
          <w:rFonts w:ascii="Times New Roman" w:hAnsi="Times New Roman"/>
          <w:b w:val="false"/>
          <w:i/>
          <w:color w:val="000000"/>
          <w:sz w:val="22"/>
        </w:rPr>
        <w:t xml:space="preserve">Created and retained jobs. </w:t>
      </w:r>
      <w:r>
        <w:rPr>
          <w:rFonts w:ascii="Times New Roman" w:hAnsi="Times New Roman"/>
          <w:b w:val="false"/>
          <w:i w:val="false"/>
          <w:color w:val="000000"/>
          <w:sz w:val="22"/>
        </w:rPr>
        <w:t xml:space="preserve">The jobs created or retained by a business shall pay the applicable wages as established in Iowa Code section </w:t>
      </w:r>
      <w:hyperlink r:id="rId34">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sufficient benefits. </w:t>
      </w:r>
      <w:r>
        <w:rPr>
          <w:rFonts w:ascii="Times New Roman" w:hAnsi="Times New Roman"/>
          <w:b w:val="false"/>
          <w:i w:val="false"/>
          <w:color w:val="000000"/>
          <w:sz w:val="22"/>
        </w:rPr>
        <w:t>The business shall offer a sufficient package of benefits to each full-time equivalent position included in the business’s base employment level and to each full-time equivalent position at the project location until the maintenance period completion date. The benefits package provided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w:t>
      </w:r>
      <w:r>
        <w:rPr>
          <w:rFonts w:ascii="Times New Roman" w:hAnsi="Times New Roman"/>
          <w:b w:val="false"/>
          <w:i w:val="false"/>
          <w:color w:val="000000"/>
          <w:sz w:val="22"/>
        </w:rPr>
        <w:t> </w:t>
      </w:r>
      <w:r>
        <w:rPr>
          <w:rFonts w:ascii="Times New Roman" w:hAnsi="Times New Roman"/>
          <w:b w:val="false"/>
          <w:i/>
          <w:color w:val="000000"/>
          <w:sz w:val="22"/>
        </w:rPr>
        <w:t xml:space="preserve">Sufficient fiscal impact. </w:t>
      </w:r>
      <w:r>
        <w:rPr>
          <w:rFonts w:ascii="Times New Roman" w:hAnsi="Times New Roman"/>
          <w:b w:val="false"/>
          <w:i w:val="false"/>
          <w:color w:val="000000"/>
          <w:sz w:val="22"/>
        </w:rPr>
        <w:t xml:space="preserve">The business shall demonstrate a sufficient fiscal impact as described in Iowa Code section </w:t>
      </w:r>
      <w:hyperlink r:id="rId36">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68.2(7)</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 xml:space="preserve">If the authority finds that a business has a record of violations of law, including but not limited to environmental and worker safety laws, over a period of time that tends to show a consistent pattern as described in Iowa Code section </w:t>
      </w:r>
      <w:hyperlink r:id="rId37">
        <w:r>
          <w:rPr>
            <w:rStyle w:val="Hyperlink"/>
            <w:rFonts w:ascii="Times New Roman" w:hAnsi="Times New Roman"/>
            <w:b w:val="false"/>
            <w:i w:val="false"/>
            <w:color w:val="000000"/>
            <w:sz w:val="22"/>
          </w:rPr>
          <w:t>15.329(2)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business shall not qualify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68.2(8)</w:t>
      </w:r>
      <w:r>
        <w:rPr>
          <w:rFonts w:ascii="Times New Roman" w:hAnsi="Times New Roman"/>
          <w:b w:val="false"/>
          <w:i w:val="false"/>
          <w:color w:val="000000"/>
          <w:sz w:val="22"/>
        </w:rPr>
        <w:t> </w:t>
      </w:r>
      <w:r>
        <w:rPr>
          <w:rFonts w:ascii="Times New Roman" w:hAnsi="Times New Roman"/>
          <w:b w:val="false"/>
          <w:i/>
          <w:color w:val="000000"/>
          <w:sz w:val="22"/>
        </w:rPr>
        <w:t xml:space="preserve">Applicant’s past or current performance. </w:t>
      </w:r>
      <w:r>
        <w:rPr>
          <w:rFonts w:ascii="Times New Roman" w:hAnsi="Times New Roman"/>
          <w:b w:val="false"/>
          <w:i w:val="false"/>
          <w:color w:val="000000"/>
          <w:sz w:val="22"/>
        </w:rPr>
        <w:t>If an applicant received a prior award or other benefit through any program administered by the authority, the authority and board will consider the applicant’s past or current performance under the prior award or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68.2(9)</w:t>
      </w:r>
      <w:r>
        <w:rPr>
          <w:rFonts w:ascii="Times New Roman" w:hAnsi="Times New Roman"/>
          <w:b w:val="false"/>
          <w:i w:val="false"/>
          <w:color w:val="000000"/>
          <w:sz w:val="22"/>
        </w:rPr>
        <w:t> </w:t>
      </w:r>
      <w:r>
        <w:rPr>
          <w:rFonts w:ascii="Times New Roman" w:hAnsi="Times New Roman"/>
          <w:b w:val="false"/>
          <w:i/>
          <w:color w:val="000000"/>
          <w:sz w:val="22"/>
        </w:rPr>
        <w:t xml:space="preserve">Results of due diligence review. </w:t>
      </w:r>
      <w:r>
        <w:rPr>
          <w:rFonts w:ascii="Times New Roman" w:hAnsi="Times New Roman"/>
          <w:b w:val="false"/>
          <w:i w:val="false"/>
          <w:color w:val="000000"/>
          <w:sz w:val="22"/>
        </w:rPr>
        <w:t xml:space="preserve">The authority will complete a due diligence review, including but not limited to lien searches, reports of violations, pending or resolved litigation, and other relevant information about the applicant. A business may be ineligible based on the results of the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68.2(10)</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 xml:space="preserve">The authority shall consider any applicable additional factors pursuant to Iowa Code section </w:t>
      </w:r>
      <w:hyperlink r:id="rId38">
        <w:r>
          <w:rPr>
            <w:rStyle w:val="Hyperlink"/>
            <w:rFonts w:ascii="Times New Roman" w:hAnsi="Times New Roman"/>
            <w:b w:val="false"/>
            <w:i w:val="false"/>
            <w:color w:val="000000"/>
            <w:sz w:val="22"/>
          </w:rPr>
          <w:t>15.329(3)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project is creating or retaining jobs, but none are high quality jobs, then the project is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representing solely acquisition of a business as a going concern that does not include creation or retention of jobs and capital investment at the acquired business facility is not eligible for the program. A qualified project that occurs following acquisition of a business as a going concern may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 xml:space="preserve">The authority will not accept applications for projects that have been initiated or will be initiated prior to board consideration of the business’s application for the program unless the business establishes that not initiating the project prior to board consideration of the application would result in undue hardship or that extenuating circumstances necessitate initiating the project prior to board consideration of the business’s application for the program. Whether an undue hardship or extenuating circumstance exists will be determined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may indicate that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of construction of new or expanded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start of rehabilitation of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purchase or leasing of existing buildings;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installation of new machinery and equipment or new computers to be used in the operation of the business’s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indicate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land or signing an option to purchase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Acquisition of a business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prior to the award date are not eligible qualifying investment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Businesses applying for the program shall utilize a standardized application developed by the authority. A signature from an official authorized to represent the affected local community is required to indicate that the community supports the project. For a project with a qualifying investment of $10 million or more, the application shall include an ordinance or resolution of the community’s governing body approving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wage requirements. </w:t>
      </w:r>
      <w:r>
        <w:rPr>
          <w:rFonts w:ascii="Times New Roman" w:hAnsi="Times New Roman"/>
          <w:b w:val="false"/>
          <w:i w:val="false"/>
          <w:color w:val="000000"/>
          <w:sz w:val="22"/>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The authority shall have sole discretion to determine whether an application is fully completed. Qualifying wage thresholds will be calculated and applied as described in rule </w:t>
      </w:r>
      <w:hyperlink r:id="rId39">
        <w:r>
          <w:rPr>
            <w:rStyle w:val="Hyperlink"/>
            <w:rFonts w:ascii="Times New Roman" w:hAnsi="Times New Roman"/>
            <w:b w:val="false"/>
            <w:i w:val="false"/>
            <w:color w:val="000000"/>
            <w:sz w:val="22"/>
          </w:rPr>
          <w:t>261—68.8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color w:val="000000"/>
          <w:sz w:val="22"/>
        </w:rPr>
        <w:t xml:space="preserve">Job requirements. </w:t>
      </w:r>
      <w:r>
        <w:rPr>
          <w:rFonts w:ascii="Times New Roman" w:hAnsi="Times New Roman"/>
          <w:b w:val="false"/>
          <w:i w:val="false"/>
          <w:color w:val="000000"/>
          <w:sz w:val="22"/>
        </w:rPr>
        <w:t xml:space="preserve">The created job and retained job requirements applicable to a project, identified as described in rule </w:t>
      </w:r>
      <w:hyperlink r:id="rId40">
        <w:r>
          <w:rPr>
            <w:rStyle w:val="Hyperlink"/>
            <w:rFonts w:ascii="Times New Roman" w:hAnsi="Times New Roman"/>
            <w:b w:val="false"/>
            <w:i w:val="false"/>
            <w:color w:val="000000"/>
            <w:sz w:val="22"/>
          </w:rPr>
          <w:t>261—68.7</w:t>
        </w:r>
      </w:hyperlink>
      <w:r>
        <w:rPr>
          <w:rFonts w:ascii="Times New Roman" w:hAnsi="Times New Roman"/>
          <w:b w:val="false"/>
          <w:i w:val="false"/>
          <w:color w:val="000000"/>
          <w:sz w:val="22"/>
        </w:rPr>
        <w:t>(15), will be established at the time of application. Job requirements will be based on the base employment level as of the date the application was fully completed and submitted to the authority and eligible business’s job projections and will be utilized to determine the amount of tax incentives and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68.3(4)</w:t>
      </w:r>
      <w:r>
        <w:rPr>
          <w:rFonts w:ascii="Times New Roman" w:hAnsi="Times New Roman"/>
          <w:b w:val="false"/>
          <w:i w:val="false"/>
          <w:color w:val="000000"/>
          <w:sz w:val="22"/>
        </w:rPr>
        <w:t> </w:t>
      </w:r>
      <w:r>
        <w:rPr>
          <w:rFonts w:ascii="Times New Roman" w:hAnsi="Times New Roman"/>
          <w:b w:val="false"/>
          <w:i/>
          <w:color w:val="000000"/>
          <w:sz w:val="22"/>
        </w:rPr>
        <w:t xml:space="preserve">Investment requirements. </w:t>
      </w:r>
      <w:r>
        <w:rPr>
          <w:rFonts w:ascii="Times New Roman" w:hAnsi="Times New Roman"/>
          <w:b w:val="false"/>
          <w:i w:val="false"/>
          <w:color w:val="000000"/>
          <w:sz w:val="22"/>
        </w:rPr>
        <w:t xml:space="preserve">The investment requirements applicable to a project, identified as described in rule </w:t>
      </w:r>
      <w:hyperlink r:id="rId41">
        <w:r>
          <w:rPr>
            <w:rStyle w:val="Hyperlink"/>
            <w:rFonts w:ascii="Times New Roman" w:hAnsi="Times New Roman"/>
            <w:b w:val="false"/>
            <w:i w:val="false"/>
            <w:color w:val="000000"/>
            <w:sz w:val="22"/>
          </w:rPr>
          <w:t>261—68.9</w:t>
        </w:r>
      </w:hyperlink>
      <w:r>
        <w:rPr>
          <w:rFonts w:ascii="Times New Roman" w:hAnsi="Times New Roman"/>
          <w:b w:val="false"/>
          <w:i w:val="false"/>
          <w:color w:val="000000"/>
          <w:sz w:val="22"/>
        </w:rPr>
        <w:t>(15), will be established at the time of application. Investment requirements are based on an eligible business’s estimates of project costs and will be utilized to determine the amount of tax incentives and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r>
        <w:rPr>
          <w:rFonts w:ascii="Times New Roman" w:hAnsi="Times New Roman"/>
          <w:b w:val="false"/>
          <w:i w:val="false"/>
          <w:color w:val="000000"/>
          <w:sz w:val="22"/>
        </w:rPr>
        <w:t>Authority staff may negotiate with the applicant concerning dollar amounts, terms, collateral, conditions of award, or any other elements of the proposed award. All forms of tax incentives and assistance available under the program are subject to negotiations. The authority shall consider all of the following factors in negotiating with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of need. </w:t>
      </w:r>
      <w:r>
        <w:rPr>
          <w:rFonts w:ascii="Times New Roman" w:hAnsi="Times New Roman"/>
          <w:b w:val="false"/>
          <w:i w:val="false"/>
          <w:color w:val="000000"/>
          <w:sz w:val="22"/>
        </w:rPr>
        <w:t>The following factors will determine the authority’s assessment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business can raise only a portion of the debt and equity necessary to complete the project. The existence of a gap between the financing required and the committed financing indicates that tax incentives or assistance may be needed to fill the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likely returns of the project are inadequate to motivate a company decision maker to proceed with the project even if sufficient debt or equity can be raised to finance the project. The existence of such a condition indicates that the project’s risks may outweigh its rewards and that tax incentives or assistance may be needed to reduce the project’s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business is deciding between an Iowa site and a site in another state for its project and the cost of completing the project at the out-of-state site is demonstrably lower. Such a condition indicates that tax incentives or assistance may be needed to equalize the cost differential between the two sites. The authority will attempt to quantify the cost differential between the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Quality of the jobs. </w:t>
      </w:r>
      <w:r>
        <w:rPr>
          <w:rFonts w:ascii="Times New Roman" w:hAnsi="Times New Roman"/>
          <w:b w:val="false"/>
          <w:i w:val="false"/>
          <w:color w:val="000000"/>
          <w:sz w:val="22"/>
        </w:rPr>
        <w:t xml:space="preserve">The authority shall place greater emphasis on projects involving created or retained jobs rated as higher quality jobs pursuant to the factors listed in Iowa Code section </w:t>
      </w:r>
      <w:hyperlink r:id="rId42">
        <w:r>
          <w:rPr>
            <w:rStyle w:val="Hyperlink"/>
            <w:rFonts w:ascii="Times New Roman" w:hAnsi="Times New Roman"/>
            <w:b w:val="false"/>
            <w:i w:val="false"/>
            <w:color w:val="000000"/>
            <w:sz w:val="22"/>
          </w:rPr>
          <w:t>15.329(3)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of created jobs defined as high quality jobs. </w:t>
      </w:r>
      <w:r>
        <w:rPr>
          <w:rFonts w:ascii="Times New Roman" w:hAnsi="Times New Roman"/>
          <w:b w:val="false"/>
          <w:i w:val="false"/>
          <w:color w:val="000000"/>
          <w:sz w:val="22"/>
        </w:rPr>
        <w:t>The authority will consider the number of high quality jobs to be created in proportion to the total number of created jobs in determining what amount of tax incentives and assistance to offer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 xml:space="preserve">In measuring the economic impact to this state, the authority shall place greater emphasis on projects that demonstrate the factors listed in Iowa Code section </w:t>
      </w:r>
      <w:hyperlink r:id="rId43">
        <w:r>
          <w:rPr>
            <w:rStyle w:val="Hyperlink"/>
            <w:rFonts w:ascii="Times New Roman" w:hAnsi="Times New Roman"/>
            <w:b w:val="false"/>
            <w:i w:val="false"/>
            <w:color w:val="000000"/>
            <w:sz w:val="22"/>
          </w:rPr>
          <w:t>15.329(3)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w:t>
      </w:r>
      <w:r>
        <w:rPr>
          <w:rFonts w:ascii="Times New Roman" w:hAnsi="Times New Roman"/>
          <w:b w:val="false"/>
          <w:i w:val="false"/>
          <w:color w:val="000000"/>
          <w:sz w:val="22"/>
        </w:rPr>
        <w:t> </w:t>
      </w:r>
      <w:r>
        <w:rPr>
          <w:rFonts w:ascii="Times New Roman" w:hAnsi="Times New Roman"/>
          <w:b w:val="false"/>
          <w:i/>
          <w:color w:val="000000"/>
          <w:sz w:val="22"/>
        </w:rPr>
        <w:t xml:space="preserve">Board approval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to ensure program eligibility requirements are satisfied. Authority staff may request additional information from the business or may use other resources to obtain the needed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eligible applications and supporting documentation will be submitted to the board for its consideration. Authority staff will generate and submit to the board a report that summarizes the project and provide a recommendation on the amount of tax incentives and assistance to be offered to the business. Staff may provide to the board additional information or documentation as determined by staff. The board may offer an award in a lesser amount or that is structured in a manner different from that requested or recommended by authority staff. Meeting eligibility requirements does not guarantee that assistance will be offered or provided in the manner sought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diligence committee of the board established pursuant to </w:t>
      </w:r>
      <w:hyperlink r:id="rId44">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will review applications and make recommendations regarding the size and conditions of awards. The board may accept or reject recommendations from the due diligence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board approves an award, an applicant will be notified in writing, including any conditions and terms of the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261—68.4</w:t>
      </w:r>
      <w:r>
        <w:rPr>
          <w:rFonts w:ascii="Times New Roman" w:hAnsi="Times New Roman"/>
          <w:b/>
          <w:i w:val="false"/>
          <w:color w:val="000000"/>
          <w:sz w:val="22"/>
        </w:rPr>
        <w:t xml:space="preserve">(15) </w:t>
      </w:r>
      <w:r>
        <w:rPr>
          <w:rFonts w:ascii="Times New Roman" w:hAnsi="Times New Roman"/>
          <w:b/>
          <w:i w:val="false"/>
          <w:color w:val="000000"/>
          <w:sz w:val="22"/>
        </w:rPr>
        <w:t xml:space="preserve">Tax incentives. </w:t>
      </w:r>
      <w:r>
        <w:rPr>
          <w:rFonts w:ascii="Times New Roman" w:hAnsi="Times New Roman"/>
          <w:b w:val="false"/>
          <w:i w:val="false"/>
          <w:color w:val="000000"/>
          <w:sz w:val="22"/>
        </w:rPr>
        <w:t xml:space="preserve">The authority may approve a business to receive any combination of applicable tax incentives allowed through the program pursuant to Iowa Code section </w:t>
      </w:r>
      <w:hyperlink r:id="rId45">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xml:space="preserve">, or </w:t>
      </w:r>
      <w:hyperlink r:id="rId50">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 approved business shall not claim a tax incentive in excess of the amount specified in an agreement entered into pursuant to Iowa Code section </w:t>
      </w:r>
      <w:hyperlink r:id="rId51">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refund or tax credit for racks, shelving, and conveyor equipment. </w:t>
      </w:r>
      <w:r>
        <w:rPr>
          <w:rFonts w:ascii="Times New Roman" w:hAnsi="Times New Roman"/>
          <w:b w:val="false"/>
          <w:i w:val="false"/>
          <w:color w:val="000000"/>
          <w:sz w:val="22"/>
        </w:rPr>
        <w:t xml:space="preserve">A business approved to receive a refund of sales and use taxes attributable to racks, shelving, and conveyor equipment in one fiscal year shall not be considered for an additional award of a refund of sales and use taxes attributable to racks, shelving, and conveyor equipment in a succeeding fiscal year. No business shall receive more than $500,000 in refunds pursuant to this subrule. The limitations in this subrule also apply to an approved business that receives tax credit up to the amount of sales and use taxes paid by a third-party developer and attributable to racks, shelving, and conveyor equipment pursuant to Iowa Code section </w:t>
      </w:r>
      <w:hyperlink r:id="rId52">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Value-added property tax exemption. </w:t>
      </w:r>
      <w:r>
        <w:rPr>
          <w:rFonts w:ascii="Times New Roman" w:hAnsi="Times New Roman"/>
          <w:b w:val="false"/>
          <w:i w:val="false"/>
          <w:color w:val="000000"/>
          <w:sz w:val="22"/>
        </w:rPr>
        <w:t xml:space="preserve">If a community approves an exemption from taxation pursuant to Iowa Code section </w:t>
      </w:r>
      <w:hyperlink r:id="rId53">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the community shall provide the authority and the local assessor with a copy of the resolution adopted by the community’s governing body that indicates the estimated value and duration of the authorized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credit—treatment of rent. </w:t>
      </w:r>
      <w:r>
        <w:rPr>
          <w:rFonts w:ascii="Times New Roman" w:hAnsi="Times New Roman"/>
          <w:b w:val="false"/>
          <w:i w:val="false"/>
          <w:color w:val="000000"/>
          <w:sz w:val="22"/>
        </w:rPr>
        <w:t xml:space="preserve">The annual base rent paid to a third-party developer by an approved business may be considered new investment for the purpose of an investment tax credit approved pursuant to Iowa Code section </w:t>
      </w:r>
      <w:hyperlink r:id="rId54">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or an insurance premium tax credit approved pursuant to Iowa Code section </w:t>
      </w:r>
      <w:hyperlink r:id="rId55">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Annual base rent may be included as new investment for a period equal to the term of the lease agreement but not to exceed the maximum term specified in a contract entered into with the authority. Annual base rent shall be considered only when the project includes the construction of a new building or the major renovation of an existing building. The approved business shall enter into a lease agreement with the third-party developer for a minimum of five years. For the purposes of this subrule, “annual base rent” means the business’s annual lease payment minus taxes, insurance and operating or maintenance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color w:val="000000"/>
          <w:sz w:val="22"/>
        </w:rPr>
        <w:t xml:space="preserve">Maximum tax incentives available. </w:t>
      </w:r>
      <w:r>
        <w:rPr>
          <w:rFonts w:ascii="Times New Roman" w:hAnsi="Times New Roman"/>
          <w:b w:val="false"/>
          <w:i w:val="false"/>
          <w:color w:val="000000"/>
          <w:sz w:val="22"/>
        </w:rPr>
        <w:t xml:space="preserve">Tax incentives awarded under this program are based upon the number of jobs created or retained that pay the applicable wages as established in Iowa Code section </w:t>
      </w:r>
      <w:hyperlink r:id="rId56">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 xml:space="preserve"> and the amount of qualifying investment. The amount of tax incentives is subject to negotiations based on the factors identified in subrule </w:t>
      </w:r>
      <w:hyperlink r:id="rId58">
        <w:r>
          <w:rPr>
            <w:rStyle w:val="Hyperlink"/>
            <w:rFonts w:ascii="Times New Roman" w:hAnsi="Times New Roman"/>
            <w:b w:val="false"/>
            <w:i w:val="false"/>
            <w:color w:val="000000"/>
            <w:sz w:val="22"/>
          </w:rPr>
          <w:t>68.3(5)</w:t>
        </w:r>
      </w:hyperlink>
      <w:r>
        <w:rPr>
          <w:rFonts w:ascii="Times New Roman" w:hAnsi="Times New Roman"/>
          <w:b w:val="false"/>
          <w:i w:val="false"/>
          <w:color w:val="000000"/>
          <w:sz w:val="22"/>
        </w:rPr>
        <w:t>. The maximum possible award is based on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is required to maintain the base employment level, but no high quality jobs are created or retained and economic activity is furthered by the qualifying investment. For purposes of this paragraph, “economic activity” means a modernization project that will result in increased skills and wages for the current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$100,000 in qualifying investment. Investment tax credit or insurance premium tax credit of up to 1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$100,000 to $499,999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1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$500,000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1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to five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$100,000 in qualifying investment. Investment tax credit or insurance premium tax credit of up to 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$100,000 to $499,999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$500,000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 to ten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$100,000 in qualifying investment. Investment tax credit or insurance premium tax credit of up to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$100,000 to $499,999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$500,000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11 to 15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$100,000 in qualifying investment. Investment tax credit or insurance premium tax credit of up to 4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$100,000 to $499,999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4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$500,000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4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16 to 30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$100,000 in qualifying investment. Investment tax credit or insurance premium tax credit of up to 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$100,000 to $499,999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$500,000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4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31 to 40 high quality jobs are created or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million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Value-added property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41 to 60 high quality jobs are created or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million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7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Value-added property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61 to 80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million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Value-added property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81 to 100 high quality jobs are created or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million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Value-added property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101 or more high quality jobs are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million or more in qualifying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tax credit or insurance premium tax credit of up to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and use tax refund or third-party developer tax credit,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Value-added property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261—68.5</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completion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color w:val="000000"/>
          <w:sz w:val="22"/>
        </w:rPr>
        <w:t xml:space="preserve">Awards and negotiations. </w:t>
      </w:r>
      <w:r>
        <w:rPr>
          <w:rFonts w:ascii="Times New Roman" w:hAnsi="Times New Roman"/>
          <w:b w:val="false"/>
          <w:i w:val="false"/>
          <w:color w:val="000000"/>
          <w:sz w:val="22"/>
        </w:rPr>
        <w:t xml:space="preserve">The authority may award project completion assistance, in the form of a loan or forgivable loan or combination of both, to a business that meets the eligibility requirements of the program. All award determinations are subject to the requirements of Iowa Code section </w:t>
      </w:r>
      <w:hyperlink r:id="rId59">
        <w:r>
          <w:rPr>
            <w:rStyle w:val="Hyperlink"/>
            <w:rFonts w:ascii="Times New Roman" w:hAnsi="Times New Roman"/>
            <w:b w:val="false"/>
            <w:i w:val="false"/>
            <w:color w:val="000000"/>
            <w:sz w:val="22"/>
          </w:rPr>
          <w:t>15.335B(3)</w:t>
        </w:r>
      </w:hyperlink>
      <w:r>
        <w:rPr>
          <w:rFonts w:ascii="Times New Roman" w:hAnsi="Times New Roman"/>
          <w:b w:val="false"/>
          <w:i w:val="false"/>
          <w:color w:val="000000"/>
          <w:sz w:val="22"/>
        </w:rPr>
        <w:t>. The board, with the assistance of authority staff, will determine the appropriate amount of project completion assistance, and the board will make a good-faith effort to provide only the amount of incentives and assistance necessary to facilitate the project’s successful completion. The amount, type, and terms of the assistance provided typically vary according to the needs of each project, and each award is subject to negotiation. The board and the authority will strive to treat similarly situated applicants in a like manner. However, the amount, type, and terms of project completion assistance most appropriate for a given project are necessarily dependent on many factors, and awards of project completion assistance shall be entirely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the amount, type, and terms of project completion assistance. </w:t>
      </w:r>
      <w:r>
        <w:rPr>
          <w:rFonts w:ascii="Times New Roman" w:hAnsi="Times New Roman"/>
          <w:b w:val="false"/>
          <w:i w:val="false"/>
          <w:color w:val="000000"/>
          <w:sz w:val="22"/>
        </w:rPr>
        <w:t>When determining an award of project completion assistance, the board, with the assistance of authority staff, typically considers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fiscal impact ratio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of assistance to be awarded is appropriate to the number of jobs that will be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assistance, including tax incentives,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project’s level of need, including whether the local community and the private sector are also contributing to the success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amount of funds from other sources that can be leveraged.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quality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261—68.6</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Agreements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 xml:space="preserve">Successful applicants will be required to execute an agreement with the authority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agreement shall meet all requirements of and be administered pursuant to Iowa Code sections </w:t>
      </w:r>
      <w:hyperlink r:id="rId60">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15.330A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68.6(3)</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An agreement will specify the number of jobs the business has pledged to create in addition to the base employment level and the number of retained jobs, if applicable. If the project is a modernization project or retention-only project, the business shall maintain the base employment level. Job obligations will be established and monitored pursuant to rule </w:t>
      </w:r>
      <w:hyperlink r:id="rId62">
        <w:r>
          <w:rPr>
            <w:rStyle w:val="Hyperlink"/>
            <w:rFonts w:ascii="Times New Roman" w:hAnsi="Times New Roman"/>
            <w:b w:val="false"/>
            <w:i w:val="false"/>
            <w:color w:val="000000"/>
            <w:sz w:val="22"/>
          </w:rPr>
          <w:t>261—68.7</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w:t>
      </w: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 xml:space="preserve">An agreement will describe the project and specify the investment the business proposes to make.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An agreement will specify the project completion date. The project completion date will be the date on which a program recipient has agreed to meet all the terms and obligations contained in an agreement with the authority, including but not limited to completing the project and creating or retaining jobs. The project completion period will be at least three years. The project completion date is calculated by the authority from the end of the month during which an award is made. For example, if an award is made on June 13, 2023, the three-year project completion date will be calculated from June 30, 2023. The project completion date for this award would be June 30,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68.6(6)</w:t>
      </w: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An agreement will specify the maintenance period completion date. The maintenance period completion date will be used to establish the period during which the project, the created jobs, if any, and the retained jobs must be maintained. A modernization project shall maintain the base employment level through the maintenance period completion date. The total contract length, including the maintenance period, will be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68.6(7)</w:t>
      </w:r>
      <w:r>
        <w:rPr>
          <w:rFonts w:ascii="Times New Roman" w:hAnsi="Times New Roman"/>
          <w:b w:val="false"/>
          <w:i w:val="false"/>
          <w:color w:val="000000"/>
          <w:sz w:val="22"/>
        </w:rPr>
        <w:t> </w:t>
      </w:r>
      <w:r>
        <w:rPr>
          <w:rFonts w:ascii="Times New Roman" w:hAnsi="Times New Roman"/>
          <w:b w:val="false"/>
          <w:i/>
          <w:color w:val="000000"/>
          <w:sz w:val="22"/>
        </w:rPr>
        <w:t xml:space="preserve">Conditions to disbursement. </w:t>
      </w:r>
      <w:r>
        <w:rPr>
          <w:rFonts w:ascii="Times New Roman" w:hAnsi="Times New Roman"/>
          <w:b w:val="false"/>
          <w:i w:val="false"/>
          <w:color w:val="000000"/>
          <w:sz w:val="22"/>
        </w:rPr>
        <w:t xml:space="preserve">An agreement will specify the conditions to disbursement of project completion assistance funds or issuance of a tax credit certificate, including but not limited to compliance with the requirements of Iowa Code section </w:t>
      </w:r>
      <w:hyperlink r:id="rId63">
        <w:r>
          <w:rPr>
            <w:rStyle w:val="Hyperlink"/>
            <w:rFonts w:ascii="Times New Roman" w:hAnsi="Times New Roman"/>
            <w:b w:val="false"/>
            <w:i w:val="false"/>
            <w:color w:val="000000"/>
            <w:sz w:val="22"/>
          </w:rPr>
          <w:t>15A.1(3)</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regarding solid and hazardous waste.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68.6(8)</w:t>
      </w:r>
      <w:r>
        <w:rPr>
          <w:rFonts w:ascii="Times New Roman" w:hAnsi="Times New Roman"/>
          <w:b w:val="false"/>
          <w:i w:val="false"/>
          <w:color w:val="000000"/>
          <w:sz w:val="22"/>
        </w:rPr>
        <w:t> </w:t>
      </w:r>
      <w:r>
        <w:rPr>
          <w:rFonts w:ascii="Times New Roman" w:hAnsi="Times New Roman"/>
          <w:b w:val="false"/>
          <w:i/>
          <w:color w:val="000000"/>
          <w:sz w:val="22"/>
        </w:rPr>
        <w:t xml:space="preserve">Monitoring and reports. </w:t>
      </w:r>
      <w:r>
        <w:rPr>
          <w:rFonts w:ascii="Times New Roman" w:hAnsi="Times New Roman"/>
          <w:b w:val="false"/>
          <w:i w:val="false"/>
          <w:color w:val="000000"/>
          <w:sz w:val="22"/>
        </w:rPr>
        <w:t xml:space="preserve">The authority shall ensure that program recipients comply with contracts entered into pursuant to this rule. An agreement will specify the reports a program recipient must submit to the authority and due dates for such reports. Reports shall be provided in form and content acceptable to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shall report annually to the authority about the status of the funded project, including but not limited to employment, wages, benefits, project costs, capital investment, and compliance with the contract. The authority will use the data it collects in the authority’s annual report to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shall submit a report to the authority following the project completion date and the maintenance period completion date to verify compliance with the agreement. On-site or remote monitoring may be conducted following the project completion date as deemed appropriate by the authority. On-site or remote monitoring may be conducted following the maintenance period completion date as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An agreement will specify events of default and the remedies available to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assistance. </w:t>
      </w:r>
      <w:r>
        <w:rPr>
          <w:rFonts w:ascii="Times New Roman" w:hAnsi="Times New Roman"/>
          <w:b w:val="false"/>
          <w:i w:val="false"/>
          <w:color w:val="000000"/>
          <w:sz w:val="22"/>
        </w:rPr>
        <w:t xml:space="preserve">If the authority determines that a recipient is in default, the authority may seek recovery of all project completion assistance funds plus interest; assess penalties; negotiate alternative repayment schedules; initiate, suspend or discontinue collection efforts; and take other appropriate action as the board deems necessary. Negotiated settlements, write-offs or discontinuance of collection efforts are subject to approval by the board. If the authority or board refers defaulted contracts to outside counsel for collection, then the terms of the agreement between the authority and the outside counsel regarding scope of counsel’s authorization to accept settlements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incentives. </w:t>
      </w:r>
      <w:r>
        <w:rPr>
          <w:rFonts w:ascii="Times New Roman" w:hAnsi="Times New Roman"/>
          <w:b w:val="false"/>
          <w:i w:val="false"/>
          <w:color w:val="000000"/>
          <w:sz w:val="22"/>
        </w:rPr>
        <w:t>If the authority determines that a recipient is in default, the authority may seek recovery of all state tax incentives by notifying the department of revenue of the event of default and the required repayment amount. The repayment amount is subject to applicable interest and penalties as determined by the department of revenue. The department of revenue will undertake collection efforts. If the business is an entity that has elected pass-through taxation status for income tax purposes, the department of revenue may undertake collection efforts against members, individuals, or shareholders to whom the tax incentives were passed through. If the agreement provided for local tax incentives, the authority will notify the community that provided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repayment due or reduction of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shortfall. If a business does not meet its job requirements, the repayment amount or reduction of incentives shall be the same proportion as the amount of the job shortfall. For example, if the business creates 50 percent of the jobs required, the business shall repay 50 percent of the incentives received or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investment shortfall. If a business does not meet the capital investment requirement, the repayment amount or reduction of incentives shall be the same proportion as the amount of the shortfall in required capital investment. For example, if the business meets 75 percent of the amount of required capital investment, the business shall repay 25 percent of the amount of the incentives received or incentives will be reduced by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and capital investment shortfalls. If a business has a shortfall in both capital investment and job requirements, the repayment amount or reduction of incentives shall be the same proportion as the greater of the two shortfalls. For example, if a business creates 50 percent of the required jobs and meets 75 percent of the required capital investment, the business shall be required to repay 50 percent of the amount of the incentives received or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Benefits. Notwithstanding any other provision in this subrule, if a business fails to comply with the benefit requirements of the agreement, the business shall be required to repay all of the incentives received or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Minimum eligibility. Notwithstanding any other provision in this subrule, if a business fails to maintain eligibility for the program, the business shall repay all of the incentives received or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default. </w:t>
      </w:r>
      <w:r>
        <w:rPr>
          <w:rFonts w:ascii="Times New Roman" w:hAnsi="Times New Roman"/>
          <w:b w:val="false"/>
          <w:i w:val="false"/>
          <w:color w:val="000000"/>
          <w:sz w:val="22"/>
        </w:rPr>
        <w:t xml:space="preserve">The authority will notify a business and, if applicable, the community of an event of default as described in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68.6(10)</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Agreement amendments must comply with Iowa Code chapter </w:t>
      </w:r>
      <w:hyperlink r:id="rId64">
        <w:r>
          <w:rPr>
            <w:rStyle w:val="Hyperlink"/>
            <w:rFonts w:ascii="Times New Roman" w:hAnsi="Times New Roman"/>
            <w:b w:val="false"/>
            <w:i w:val="false"/>
            <w:color w:val="000000"/>
            <w:sz w:val="22"/>
          </w:rPr>
          <w:t>15, subchapter II, part 13</w:t>
        </w:r>
      </w:hyperlink>
      <w:r>
        <w:rPr>
          <w:rFonts w:ascii="Times New Roman" w:hAnsi="Times New Roman"/>
          <w:b w:val="false"/>
          <w:i w:val="false"/>
          <w:color w:val="000000"/>
          <w:sz w:val="22"/>
        </w:rPr>
        <w:t>, and this chapter. Participating businesses may submit requests for amendments to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65">
        <w:r>
          <w:rPr>
            <w:rStyle w:val="Hyperlink"/>
            <w:rFonts w:ascii="Times New Roman" w:hAnsi="Times New Roman"/>
            <w:b w:val="false"/>
            <w:i w:val="false"/>
            <w:color w:val="000000"/>
            <w:sz w:val="22"/>
          </w:rPr>
          <w:t>68.6(10)</w:t>
        </w:r>
      </w:hyperlink>
      <w:r>
        <w:rPr>
          <w:rFonts w:ascii="Times New Roman" w:hAnsi="Times New Roman"/>
          <w:b w:val="false"/>
          <w:i/>
          <w:color w:val="000000"/>
          <w:sz w:val="22"/>
        </w:rPr>
        <w:t>“b,”</w:t>
      </w:r>
      <w:r>
        <w:rPr>
          <w:rFonts w:ascii="Times New Roman" w:hAnsi="Times New Roman"/>
          <w:b w:val="false"/>
          <w:i w:val="false"/>
          <w:color w:val="000000"/>
          <w:sz w:val="22"/>
        </w:rPr>
        <w:t xml:space="preserve"> no request to amend an agreement may be approved unless it has been reviewed by the due diligence committee established pursuant to </w:t>
      </w:r>
      <w:hyperlink r:id="rId66">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the due diligence committee has recommended approving the request to amend the agreement, and the board approves the request to amend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Authority staff may approve nonsubstantive changes,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Recipient name, address and similar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Collateral changes that do not materially and substantially impact the authority’s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 item budget changes that do not reduce overall total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Loan repayment amounts or due dates that do not extend the final due date of a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to tax credit amortization schedules.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261—68.7</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 xml:space="preserve">The authority will count created and retained jobs using a base employment analysis comparing the base employment level to employment at another date. The business’s base employment level will be established at the time of application for the program. The number of jobs the business has pledged to create shall be in addition to the base employment level. Retained jobs may be included in the base employment level as established at the time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who are employed in this state but are not employed at the project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business receives multiple awards for projects at the same location, the base employment level will be calculated by using the payroll document from the oldest award that is open. Job obligations from each new award will be added to this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collect payroll documents to calculate and verify base employment level used in each award. Payroll documents must include a name or employee identification number and the hourly rate of pay for all full-time equivalent positions.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base employment level includes retained jobs, the authority will require a business to verify that a job is at risk. Such verification may include the signed statement of an officer of the business, documentation that the business is actively exploring other sites for the project, or any other information the authority may reasonably require during the application review process to establish that a job is at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At the project completion date, during the maintenance period, and following the maintenance period completion date, 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r>
        <w:rPr>
          <w:rFonts w:ascii="Times New Roman" w:hAnsi="Times New Roman"/>
          <w:b w:val="false"/>
          <w:i w:val="false"/>
          <w:color w:val="000000"/>
          <w:sz w:val="22"/>
        </w:rPr>
        <w:t xml:space="preserve">Only a full-time equivalent position filled by an individual will be considered an employee of the business for the purpose of establishing the base employment level, retained jobs, or created jobs. The authority will not consider “job sharing” or any other means of aggregation or combination of hours worked by more than one natural person in counting jobs. The authority will verify that full-time equivalent positions constitute the employment of one person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 business’s leased or contract employee may be included in the base employment level, as a created job, or as a retained job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tax incentives or project completion assistance has a legally binding contract with a third-party provider to provide the leased or contract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submit payroll records to the authority, in form and content and as frequently as required by the authority, for purposes of verifying that the business’s job creation/retention and benefit requirements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authorizes the authority, or its authorized representatives, to access the third-party provider’s records related to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tax incentives or project completion assistance agrees to be contractually liable to the authority for the performance or nonperformance of the third-party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68.7(6)</w:t>
      </w:r>
      <w:r>
        <w:rPr>
          <w:rFonts w:ascii="Times New Roman" w:hAnsi="Times New Roman"/>
          <w:b w:val="false"/>
          <w:i w:val="false"/>
          <w:color w:val="000000"/>
          <w:sz w:val="22"/>
        </w:rPr>
        <w:t> </w:t>
      </w:r>
      <w:r>
        <w:rPr>
          <w:rFonts w:ascii="Times New Roman" w:hAnsi="Times New Roman"/>
          <w:b w:val="false"/>
          <w:i/>
          <w:color w:val="000000"/>
          <w:sz w:val="22"/>
        </w:rPr>
        <w:t xml:space="preserve">Remote employees. </w:t>
      </w:r>
      <w:r>
        <w:rPr>
          <w:rFonts w:ascii="Times New Roman" w:hAnsi="Times New Roman"/>
          <w:b w:val="false"/>
          <w:i w:val="false"/>
          <w:color w:val="000000"/>
          <w:sz w:val="22"/>
        </w:rPr>
        <w:t>Employees with a reasonable connection to a project location who work remotely may be included in the base employment level, as a created job, or as a retained job as established by the authority at the time of application. To determine whether employees who work remotely should be included, the authority will consider a business’s policies on establishing remote work locations for employees, reporting structures,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as a created job, or as a retained job pursuant to this subrule shall be solely within the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261—68.8</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wage requirements. </w:t>
      </w:r>
      <w:r>
        <w:rPr>
          <w:rFonts w:ascii="Times New Roman" w:hAnsi="Times New Roman"/>
          <w:b w:val="false"/>
          <w:i w:val="false"/>
          <w:color w:val="000000"/>
          <w:sz w:val="22"/>
        </w:rPr>
        <w:t xml:space="preserve">Created or retained jobs shall meet the qualifying wage threshold requirements as established pursuant to this rule and as indicated in an agreement entered into pursuant to Iowa Code section </w:t>
      </w:r>
      <w:hyperlink r:id="rId67">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Jobs that do not meet the qualifying wage threshold requirements will not be counted toward a business’s job creation or job retention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68.8(1)</w:t>
      </w:r>
      <w:r>
        <w:rPr>
          <w:rFonts w:ascii="Times New Roman" w:hAnsi="Times New Roman"/>
          <w:b w:val="false"/>
          <w:i w:val="false"/>
          <w:color w:val="000000"/>
          <w:sz w:val="22"/>
        </w:rPr>
        <w:t> </w:t>
      </w:r>
      <w:r>
        <w:rPr>
          <w:rFonts w:ascii="Times New Roman" w:hAnsi="Times New Roman"/>
          <w:b w:val="false"/>
          <w:i w:val="false"/>
          <w:color w:val="000000"/>
          <w:sz w:val="22"/>
        </w:rPr>
        <w:t>The authority will update the qualifying wage thresholds annually each fiscal year. The thresholds will take effect on September 1 of each fiscal year and remain in effect until August 31 of the following fiscal year. If the authority determines that the laborshed wage of a laborshed area would increase by more than one dollar per hour, the authority will limit the increase to the qualifying wage threshold for that laborshed area for that annual update to one dollar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68.8(2)</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the laborshed wage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current covered wage and employment data available from the department of workforce development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will be computed as a mean wage figure and represented in terms of an hourly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the wages paid by employers for jobs performed within the first two zones of a laborshed area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those wages within two standard deviations from the mean wage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establishing wage requirements, the authority may designate a county that does not meet at least three of the criteria listed in Iowa Code section </w:t>
      </w:r>
      <w:hyperlink r:id="rId68">
        <w:r>
          <w:rPr>
            <w:rStyle w:val="Hyperlink"/>
            <w:rFonts w:ascii="Times New Roman" w:hAnsi="Times New Roman"/>
            <w:b w:val="false"/>
            <w:i w:val="false"/>
            <w:color w:val="000000"/>
            <w:sz w:val="22"/>
          </w:rPr>
          <w:t>15.335C(1)</w:t>
        </w:r>
      </w:hyperlink>
      <w:r>
        <w:rPr>
          <w:rFonts w:ascii="Times New Roman" w:hAnsi="Times New Roman"/>
          <w:b w:val="false"/>
          <w:i w:val="false"/>
          <w:color w:val="000000"/>
          <w:sz w:val="22"/>
        </w:rPr>
        <w:t xml:space="preserve"> as an economically distressed area if a business located in the county experiences a layoff or a closure that has a significant impact on a community within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the authority will consider in determining whether a layoff or closure has a significant impact on a community within the county include but are not limited to total number of employees impacted; percentage of the applicable laborshed impacted; number of employees impacted as a percentage of population; current unemployment rate; and unemployment rate, including the employees affected by a layoff 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city or county shall request designation of a county as an economically distressed area, pursuant to this subrule, in writing. Such requests are subject to approval by the board. Requests may be made simultaneously with a project application that would qualify for a lower qualifying wage threshold requirement pursuant to this subrule if the request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update the list of economically distressed areas, including those designated pursuant to subrule </w:t>
      </w:r>
      <w:hyperlink r:id="rId69">
        <w:r>
          <w:rPr>
            <w:rStyle w:val="Hyperlink"/>
            <w:rFonts w:ascii="Times New Roman" w:hAnsi="Times New Roman"/>
            <w:b w:val="false"/>
            <w:i w:val="false"/>
            <w:color w:val="000000"/>
            <w:sz w:val="22"/>
          </w:rPr>
          <w:t>68.8(3)</w:t>
        </w:r>
      </w:hyperlink>
      <w:r>
        <w:rPr>
          <w:rFonts w:ascii="Times New Roman" w:hAnsi="Times New Roman"/>
          <w:b w:val="false"/>
          <w:i w:val="false"/>
          <w:color w:val="000000"/>
          <w:sz w:val="22"/>
        </w:rPr>
        <w:t xml:space="preserve">, according to the same schedule as the qualifying wage thresholds are updated pursuant to subrule </w:t>
      </w:r>
      <w:hyperlink r:id="rId70">
        <w:r>
          <w:rPr>
            <w:rStyle w:val="Hyperlink"/>
            <w:rFonts w:ascii="Times New Roman" w:hAnsi="Times New Roman"/>
            <w:b w:val="false"/>
            <w:i w:val="false"/>
            <w:color w:val="000000"/>
            <w:sz w:val="22"/>
          </w:rPr>
          <w:t>68.8(1)</w:t>
        </w:r>
      </w:hyperlink>
      <w:r>
        <w:rPr>
          <w:rFonts w:ascii="Times New Roman" w:hAnsi="Times New Roman"/>
          <w:b w:val="false"/>
          <w:i w:val="false"/>
          <w:color w:val="000000"/>
          <w:sz w:val="22"/>
        </w:rPr>
        <w:t xml:space="preserve">. Designations of economically distressed areas will apply in the same manner as wage thresholds are applied as described in subrule </w:t>
      </w:r>
      <w:hyperlink r:id="rId71">
        <w:r>
          <w:rPr>
            <w:rStyle w:val="Hyperlink"/>
            <w:rFonts w:ascii="Times New Roman" w:hAnsi="Times New Roman"/>
            <w:b w:val="false"/>
            <w:i w:val="false"/>
            <w:color w:val="000000"/>
            <w:sz w:val="22"/>
          </w:rPr>
          <w:t>68.3(2)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consult with the brownfield redevelopment advisory council established pursuant to Iowa Code section </w:t>
      </w:r>
      <w:hyperlink r:id="rId72">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 xml:space="preserve"> in order to make a determination as to whether a project site is a brownfield site or a grayfield site for purposes of determining wage requirements. The determination as to whether a project site qualifies as a brownfield site or a grayfield site shall be within the discretion of the authority. In making such determinations, to the extent it is possible to do so, the authority will apply the same definition in substantially the same manner as similar definitions are applied by the brownfield redevelopment advisory council. A project that is not a brownfield site or a grayfield site will be presumed to be a greenfield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68.8(6)</w:t>
      </w:r>
      <w:r>
        <w:rPr>
          <w:rFonts w:ascii="Times New Roman" w:hAnsi="Times New Roman"/>
          <w:b w:val="false"/>
          <w:i w:val="false"/>
          <w:color w:val="000000"/>
          <w:sz w:val="22"/>
        </w:rPr>
        <w:t> </w:t>
      </w:r>
      <w:r>
        <w:rPr>
          <w:rFonts w:ascii="Times New Roman" w:hAnsi="Times New Roman"/>
          <w:b w:val="false"/>
          <w:i w:val="false"/>
          <w:color w:val="000000"/>
          <w:sz w:val="22"/>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261—68.9</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investment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68.9(1)</w:t>
      </w:r>
      <w:r>
        <w:rPr>
          <w:rFonts w:ascii="Times New Roman" w:hAnsi="Times New Roman"/>
          <w:b w:val="false"/>
          <w:i w:val="false"/>
          <w:color w:val="000000"/>
          <w:sz w:val="22"/>
        </w:rPr>
        <w:t> </w:t>
      </w:r>
      <w:r>
        <w:rPr>
          <w:rFonts w:ascii="Times New Roman" w:hAnsi="Times New Roman"/>
          <w:b w:val="false"/>
          <w:i/>
          <w:color w:val="000000"/>
          <w:sz w:val="22"/>
        </w:rPr>
        <w:t xml:space="preserve">Capital investment. </w:t>
      </w:r>
      <w:r>
        <w:rPr>
          <w:rFonts w:ascii="Times New Roman" w:hAnsi="Times New Roman"/>
          <w:b w:val="false"/>
          <w:i w:val="false"/>
          <w:color w:val="000000"/>
          <w:sz w:val="22"/>
        </w:rPr>
        <w:t>The authority reports on the amount of capital investment involved with funded projects. This rule lists the categories of expenditures that are included when the authority determines the amount of capital investment associated with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68.9(2)</w:t>
      </w: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for tax credit programs. </w:t>
      </w:r>
      <w:r>
        <w:rPr>
          <w:rFonts w:ascii="Times New Roman" w:hAnsi="Times New Roman"/>
          <w:b w:val="false"/>
          <w:i w:val="false"/>
          <w:color w:val="000000"/>
          <w:sz w:val="22"/>
        </w:rPr>
        <w:t>Minimum investment thresholds must be met for the project to be considered to receive an award. Not all expenditures count toward meeting the investment threshold. This rule identifies the categories of expenditures that can be included when the amount of investment is calculated for purposes of meeting program eligibility threshold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68.9(3)</w:t>
      </w:r>
      <w:r>
        <w:rPr>
          <w:rFonts w:ascii="Times New Roman" w:hAnsi="Times New Roman"/>
          <w:b w:val="false"/>
          <w:i w:val="false"/>
          <w:color w:val="000000"/>
          <w:sz w:val="22"/>
        </w:rPr>
        <w:t> </w:t>
      </w:r>
      <w:r>
        <w:rPr>
          <w:rFonts w:ascii="Times New Roman" w:hAnsi="Times New Roman"/>
          <w:b w:val="false"/>
          <w:i/>
          <w:color w:val="000000"/>
          <w:sz w:val="22"/>
        </w:rPr>
        <w:t xml:space="preserve">Investment qualifying for tax credits. </w:t>
      </w:r>
      <w:r>
        <w:rPr>
          <w:rFonts w:ascii="Times New Roman" w:hAnsi="Times New Roman"/>
          <w:b w:val="false"/>
          <w:i w:val="false"/>
          <w:color w:val="000000"/>
          <w:sz w:val="22"/>
        </w:rPr>
        <w:t>Not all of the expenditures categories used to calculate the investment amount needed to meet program threshold requirements qualify for purposes of claiming the tax credits. The following table identifies the expenditures that do not qualify for tax credits.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7"/>
        <w:gridCol w:w="2797"/>
        <w:gridCol w:w="2798"/>
        <w:gridCol w:w="2798"/>
      </w:tblGrid>
      <w:tr>
        <w:trPr>
          <w:trHeight w:val="435" w:hRule="atLeast"/>
        </w:trPr>
        <w:tc>
          <w:tcPr>
            <w:tcW w:w="2797" w:type="dxa"/>
            <w:tcBorders>
              <w:bottom w:val="single" w:color="000000" w:sz="8"/>
              <w:right w:val="single" w:color="000000" w:sz="8"/>
            </w:tcBorders>
            <w:shd w:fill="d0d0d0"/>
            <w:tcMar>
              <w:top w:w="30" w:type="dxa"/>
              <w:left w:w="30" w:type="dxa"/>
              <w:bottom w:w="15" w:type="dxa"/>
              <w:right w:w="30" w:type="dxa"/>
            </w:tcMar>
            <w:vAlign w:val="top"/>
          </w:tcPr>
          <w:p/>
        </w:tc>
        <w:tc>
          <w:tcPr>
            <w:tcW w:w="279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Capital Investment</w:t>
            </w:r>
            <w:r>
              <w:rPr>
                <w:rFonts w:ascii="Times New Roman" w:hAnsi="Times New Roman"/>
                <w:b w:val="false"/>
                <w:i w:val="false"/>
                <w:color w:val="000000"/>
                <w:sz w:val="18"/>
                <w:vertAlign w:val="superscript"/>
              </w:rPr>
              <w:t>1</w:t>
            </w:r>
          </w:p>
        </w:tc>
        <w:tc>
          <w:tcPr>
            <w:tcW w:w="2798"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Qualifying Investment</w:t>
            </w:r>
            <w:r>
              <w:rPr>
                <w:rFonts w:ascii="Times New Roman" w:hAnsi="Times New Roman"/>
                <w:b w:val="false"/>
                <w:i w:val="false"/>
                <w:color w:val="000000"/>
                <w:sz w:val="18"/>
                <w:vertAlign w:val="superscript"/>
              </w:rPr>
              <w:t>2</w:t>
            </w:r>
          </w:p>
        </w:tc>
        <w:tc>
          <w:tcPr>
            <w:tcW w:w="2798" w:type="dxa"/>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Investment Qualifying for Tax Credits</w:t>
            </w:r>
            <w:r>
              <w:rPr>
                <w:rFonts w:ascii="Times New Roman" w:hAnsi="Times New Roman"/>
                <w:b w:val="false"/>
                <w:i w:val="false"/>
                <w:color w:val="000000"/>
                <w:sz w:val="18"/>
                <w:vertAlign w:val="superscript"/>
              </w:rPr>
              <w:t>3</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Land acquisition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preparation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acquisition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construction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remodeling</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Mfg. machinery &amp; equip.</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machinery &amp; equip.</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Racking, shelving, etc.</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Computer hardware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Computer software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Furniture &amp; fixtures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Working capital</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Research &amp; development</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Job training</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Capital or synthetic lease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Rail improvements</w:t>
            </w:r>
            <w:r>
              <w:rPr>
                <w:rFonts w:ascii="Times New Roman" w:hAnsi="Times New Roman"/>
                <w:b w:val="false"/>
                <w:i w:val="false"/>
                <w:color w:val="000000"/>
                <w:sz w:val="18"/>
                <w:vertAlign w:val="superscript"/>
              </w:rPr>
              <w:t>4</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infrastructure</w:t>
            </w:r>
            <w:r>
              <w:rPr>
                <w:rFonts w:ascii="Times New Roman" w:hAnsi="Times New Roman"/>
                <w:b w:val="false"/>
                <w:i w:val="false"/>
                <w:color w:val="000000"/>
                <w:sz w:val="18"/>
                <w:vertAlign w:val="superscript"/>
              </w:rPr>
              <w:t>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“Capital investment” is used to calculate project investment on depreciable assets.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“Qualifying investment” is used to determine eligibility for the program.</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“Investment qualifying for tax credits” is used to calculate the maximum available tax credit award for a project.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“Rail improvements” includes hard construction costs for rail improvements. (These costs are included as part of construction or site preparation costs.)</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“Public infrastructure” includes any publicly owned utility service, such as water, sewer, storm sewer or roadway construction and improvements. (These costs are included as part of construction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3">
        <w:r>
          <w:rPr>
            <w:rStyle w:val="Hyperlink"/>
            <w:rFonts w:ascii="Times New Roman" w:hAnsi="Times New Roman"/>
            <w:b w:val="false"/>
            <w:i w:val="false"/>
            <w:color w:val="000000"/>
            <w:sz w:val="22"/>
          </w:rPr>
          <w:t>15, subchapter II, part 13</w:t>
        </w:r>
      </w:hyperlink>
      <w:r>
        <w:rPr>
          <w:rFonts w:ascii="Times New Roman" w:hAnsi="Times New Roman"/>
          <w:b w:val="false"/>
          <w:i w:val="false"/>
          <w:color w:val="000000"/>
          <w:sz w:val="22"/>
        </w:rPr>
        <w:t xml:space="preserve">, and section </w:t>
      </w:r>
      <w:hyperlink r:id="rId74">
        <w:r>
          <w:rPr>
            <w:rStyle w:val="Hyperlink"/>
            <w:rFonts w:ascii="Times New Roman" w:hAnsi="Times New Roman"/>
            <w:b w:val="false"/>
            <w:i w:val="false"/>
            <w:color w:val="000000"/>
            <w:sz w:val="22"/>
          </w:rPr>
          <w:t>15A.1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7/19/06—published 8/16/06, effective 7/19/06]</w:t>
      </w:r>
    </w:p>
    <w:p>
      <w:pPr>
        <w:spacing w:before="0" w:after="0"/>
        <w:ind w:left="120"/>
        <w:jc w:val="center"/>
      </w:pPr>
      <w:r>
        <w:rPr>
          <w:rFonts w:ascii="Times New Roman" w:hAnsi="Times New Roman"/>
          <w:b w:val="false"/>
          <w:i w:val="false"/>
          <w:color w:val="000000"/>
          <w:sz w:val="21"/>
        </w:rPr>
        <w:t>[Filed 9/22/06, Notice 8/16/06—published 10/11/066, effective 11/15/06]</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7557B</w:t>
      </w:r>
      <w:r>
        <w:rPr>
          <w:rFonts w:ascii="Times New Roman" w:hAnsi="Times New Roman"/>
          <w:b w:val="false"/>
          <w:i w:val="false"/>
          <w:color w:val="000000"/>
          <w:sz w:val="21"/>
        </w:rPr>
        <w:t xml:space="preserve"> (Notice ARC 7315B,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0442C</w:t>
      </w:r>
      <w:r>
        <w:rPr>
          <w:rFonts w:ascii="Times New Roman" w:hAnsi="Times New Roman"/>
          <w:b w:val="false"/>
          <w:i w:val="false"/>
          <w:color w:val="000000"/>
          <w:sz w:val="21"/>
        </w:rPr>
        <w:t xml:space="preserve"> (Notice ARC 0293C,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1801C</w:t>
      </w:r>
      <w:r>
        <w:rPr>
          <w:rFonts w:ascii="Times New Roman" w:hAnsi="Times New Roman"/>
          <w:b w:val="false"/>
          <w:i w:val="false"/>
          <w:color w:val="000000"/>
          <w:sz w:val="21"/>
        </w:rPr>
        <w:t xml:space="preserve"> (Notice ARC 1628C, IAB 9/17/14)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3385C</w:t>
      </w:r>
      <w:r>
        <w:rPr>
          <w:rFonts w:ascii="Times New Roman" w:hAnsi="Times New Roman"/>
          <w:b w:val="false"/>
          <w:i w:val="false"/>
          <w:color w:val="000000"/>
          <w:sz w:val="21"/>
        </w:rPr>
        <w:t xml:space="preserve"> (Notice ARC 2996C,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6188C</w:t>
      </w:r>
      <w:r>
        <w:rPr>
          <w:rFonts w:ascii="Times New Roman" w:hAnsi="Times New Roman"/>
          <w:b w:val="false"/>
          <w:i w:val="false"/>
          <w:color w:val="000000"/>
          <w:sz w:val="21"/>
        </w:rPr>
        <w:t xml:space="preserve"> (Notice ARC 6046C,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8145C</w:t>
      </w:r>
      <w:r>
        <w:rPr>
          <w:rFonts w:ascii="Times New Roman" w:hAnsi="Times New Roman"/>
          <w:b w:val="false"/>
          <w:i w:val="false"/>
          <w:color w:val="000000"/>
          <w:sz w:val="21"/>
        </w:rPr>
        <w:t xml:space="preserve"> (Notice ARC 7937C, IAB 5/15/24)</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27.pdf" Type="http://schemas.openxmlformats.org/officeDocument/2006/relationships/hyperlink" Id="rId5"/>
    <Relationship TargetMode="External" Target="https://www.legis.iowa.gov/docs/ico/chapter/15.327.pdf" Type="http://schemas.openxmlformats.org/officeDocument/2006/relationships/hyperlink" Id="rId6"/>
    <Relationship TargetMode="External" Target="https://www.legis.iowa.gov/docs/ico/chapter/15.327.pdf" Type="http://schemas.openxmlformats.org/officeDocument/2006/relationships/hyperlink" Id="rId7"/>
    <Relationship TargetMode="External" Target="https://www.legis.iowa.gov/docs/ico/chapter/15.102.pdf" Type="http://schemas.openxmlformats.org/officeDocument/2006/relationships/hyperlink" Id="rId8"/>
    <Relationship TargetMode="External" Target="https://www.legis.iowa.gov/docs/ico/chapter/15.291.pdf" Type="http://schemas.openxmlformats.org/officeDocument/2006/relationships/hyperlink" Id="rId9"/>
    <Relationship TargetMode="External" Target="https://www.legis.iowa.gov/docs/ico/chapter/15.327.pdf" Type="http://schemas.openxmlformats.org/officeDocument/2006/relationships/hyperlink" Id="rId10"/>
    <Relationship TargetMode="External" Target="https://www.legis.iowa.gov/docs/ico/chapter/15.327.pdf" Type="http://schemas.openxmlformats.org/officeDocument/2006/relationships/hyperlink" Id="rId11"/>
    <Relationship TargetMode="External" Target="https://www.legis.iowa.gov/docs/ico/chapter/15.329.pdf" Type="http://schemas.openxmlformats.org/officeDocument/2006/relationships/hyperlink" Id="rId12"/>
    <Relationship TargetMode="External" Target="https://www.legis.iowa.gov/docs/ico/chapter/15.327.pdf" Type="http://schemas.openxmlformats.org/officeDocument/2006/relationships/hyperlink" Id="rId13"/>
    <Relationship TargetMode="External" Target="https://www.legis.iowa.gov/docs/ico/chapter/15.327.pdf" Type="http://schemas.openxmlformats.org/officeDocument/2006/relationships/hyperlink" Id="rId14"/>
    <Relationship TargetMode="External" Target="https://www.legis.iowa.gov/docs/ico/chapter/15.291.pdf" Type="http://schemas.openxmlformats.org/officeDocument/2006/relationships/hyperlink" Id="rId15"/>
    <Relationship TargetMode="External" Target="https://www.legis.iowa.gov/docs/ico/chapter/15.329.pdf" Type="http://schemas.openxmlformats.org/officeDocument/2006/relationships/hyperlink" Id="rId16"/>
    <Relationship TargetMode="External" Target="https://www.legis.iowa.gov/docs/ico/chapter/15.335C.pdf" Type="http://schemas.openxmlformats.org/officeDocument/2006/relationships/hyperlink" Id="rId17"/>
    <Relationship TargetMode="External" Target="https://www.legis.iowa.gov/docs/ico/chapter/15.327.pdf" Type="http://schemas.openxmlformats.org/officeDocument/2006/relationships/hyperlink" Id="rId18"/>
    <Relationship TargetMode="External" Target="https://www.legis.iowa.gov/docs/ico/chapter/15.330.pdf" Type="http://schemas.openxmlformats.org/officeDocument/2006/relationships/hyperlink" Id="rId19"/>
    <Relationship TargetMode="External" Target="https://www.legis.iowa.gov/docs/ico/chapter/15.327.pdf" Type="http://schemas.openxmlformats.org/officeDocument/2006/relationships/hyperlink" Id="rId20"/>
    <Relationship TargetMode="External" Target="https://www.legis.iowa.gov/docs/ico/chapter/15.327.pdf" Type="http://schemas.openxmlformats.org/officeDocument/2006/relationships/hyperlink" Id="rId21"/>
    <Relationship TargetMode="External" Target="https://www.legis.iowa.gov/docs/ico/chapter/15.327.pdf" Type="http://schemas.openxmlformats.org/officeDocument/2006/relationships/hyperlink" Id="rId22"/>
    <Relationship TargetMode="External" Target="https://www.legis.iowa.gov/docs/ico/chapter/15.327.pdf" Type="http://schemas.openxmlformats.org/officeDocument/2006/relationships/hyperlink" Id="rId23"/>
    <Relationship TargetMode="External" Target="https://www.legis.iowa.gov/docs/ico/chapter/15.327.pdf" Type="http://schemas.openxmlformats.org/officeDocument/2006/relationships/hyperlink" Id="rId24"/>
    <Relationship TargetMode="External" Target="https://www.legis.iowa.gov/docs/ico/chapter/15.327.pdf" Type="http://schemas.openxmlformats.org/officeDocument/2006/relationships/hyperlink" Id="rId25"/>
    <Relationship TargetMode="External" Target="https://www.legis.iowa.gov/docs/ico/chapter/15.327.pdf" Type="http://schemas.openxmlformats.org/officeDocument/2006/relationships/hyperlink" Id="rId26"/>
    <Relationship TargetMode="External" Target="https://www.legis.iowa.gov/docs/ico/chapter/15.327.pdf" Type="http://schemas.openxmlformats.org/officeDocument/2006/relationships/hyperlink" Id="rId27"/>
    <Relationship TargetMode="External" Target="https://www.legis.iowa.gov/docs/ico/chapter/15.327.pdf" Type="http://schemas.openxmlformats.org/officeDocument/2006/relationships/hyperlink" Id="rId28"/>
    <Relationship TargetMode="External" Target="https://www.legis.iowa.gov/docs/ico/chapter/15.329.pdf" Type="http://schemas.openxmlformats.org/officeDocument/2006/relationships/hyperlink" Id="rId29"/>
    <Relationship TargetMode="External" Target="https://www.legis.iowa.gov/docs/ico/chapter/15.329.pdf" Type="http://schemas.openxmlformats.org/officeDocument/2006/relationships/hyperlink" Id="rId30"/>
    <Relationship TargetMode="External" Target="https://www.legis.iowa.gov/docs/ico/chapter/15.329.pdf" Type="http://schemas.openxmlformats.org/officeDocument/2006/relationships/hyperlink" Id="rId31"/>
    <Relationship TargetMode="External" Target="https://www.legis.iowa.gov/docs/ico/chapter/423.1.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15.329.pdf" Type="http://schemas.openxmlformats.org/officeDocument/2006/relationships/hyperlink" Id="rId34"/>
    <Relationship TargetMode="External" Target="https://www.legis.iowa.gov/docs/ico/chapter/15.335C.pdf" Type="http://schemas.openxmlformats.org/officeDocument/2006/relationships/hyperlink" Id="rId35"/>
    <Relationship TargetMode="External" Target="https://www.legis.iowa.gov/docs/ico/chapter/15.329.pdf" Type="http://schemas.openxmlformats.org/officeDocument/2006/relationships/hyperlink" Id="rId36"/>
    <Relationship TargetMode="External" Target="https://www.legis.iowa.gov/docs/ico/chapter/15.329.pdf" Type="http://schemas.openxmlformats.org/officeDocument/2006/relationships/hyperlink" Id="rId37"/>
    <Relationship TargetMode="External" Target="https://www.legis.iowa.gov/docs/ico/chapter/15.329.pdf" Type="http://schemas.openxmlformats.org/officeDocument/2006/relationships/hyperlink" Id="rId38"/>
    <Relationship TargetMode="External" Target="https://www.legis.iowa.gov/docs/iac/rule/261.68.8.pdf" Type="http://schemas.openxmlformats.org/officeDocument/2006/relationships/hyperlink" Id="rId39"/>
    <Relationship TargetMode="External" Target="https://www.legis.iowa.gov/docs/iac/rule/261.68.7.pdf" Type="http://schemas.openxmlformats.org/officeDocument/2006/relationships/hyperlink" Id="rId40"/>
    <Relationship TargetMode="External" Target="https://www.legis.iowa.gov/docs/iac/rule/261.68.9.pdf" Type="http://schemas.openxmlformats.org/officeDocument/2006/relationships/hyperlink" Id="rId41"/>
    <Relationship TargetMode="External" Target="https://www.legis.iowa.gov/docs/ico/chapter/15.329.pdf" Type="http://schemas.openxmlformats.org/officeDocument/2006/relationships/hyperlink" Id="rId42"/>
    <Relationship TargetMode="External" Target="https://www.legis.iowa.gov/docs/ico/chapter/15.329.pdf" Type="http://schemas.openxmlformats.org/officeDocument/2006/relationships/hyperlink" Id="rId43"/>
    <Relationship TargetMode="External" Target="https://www.legis.iowa.gov/docs/iac/rule/261.1.3.pdf" Type="http://schemas.openxmlformats.org/officeDocument/2006/relationships/hyperlink" Id="rId44"/>
    <Relationship TargetMode="External" Target="https://www.legis.iowa.gov/docs/ico/chapter/15.331A.pdf" Type="http://schemas.openxmlformats.org/officeDocument/2006/relationships/hyperlink" Id="rId45"/>
    <Relationship TargetMode="External" Target="https://www.legis.iowa.gov/docs/ico/chapter/15.331C.pdf" Type="http://schemas.openxmlformats.org/officeDocument/2006/relationships/hyperlink" Id="rId46"/>
    <Relationship TargetMode="External" Target="https://www.legis.iowa.gov/docs/ico/chapter/15.332.pdf" Type="http://schemas.openxmlformats.org/officeDocument/2006/relationships/hyperlink" Id="rId47"/>
    <Relationship TargetMode="External" Target="https://www.legis.iowa.gov/docs/ico/chapter/15.333.pdf" Type="http://schemas.openxmlformats.org/officeDocument/2006/relationships/hyperlink" Id="rId48"/>
    <Relationship TargetMode="External" Target="https://www.legis.iowa.gov/docs/ico/chapter/15.333A.pdf" Type="http://schemas.openxmlformats.org/officeDocument/2006/relationships/hyperlink" Id="rId49"/>
    <Relationship TargetMode="External" Target="https://www.legis.iowa.gov/docs/ico/chapter/15.335.pdf" Type="http://schemas.openxmlformats.org/officeDocument/2006/relationships/hyperlink" Id="rId50"/>
    <Relationship TargetMode="External" Target="https://www.legis.iowa.gov/docs/ico/chapter/15.330.pdf" Type="http://schemas.openxmlformats.org/officeDocument/2006/relationships/hyperlink" Id="rId51"/>
    <Relationship TargetMode="External" Target="https://www.legis.iowa.gov/docs/ico/chapter/15.331C.pdf" Type="http://schemas.openxmlformats.org/officeDocument/2006/relationships/hyperlink" Id="rId52"/>
    <Relationship TargetMode="External" Target="https://www.legis.iowa.gov/docs/ico/chapter/15.332.pdf" Type="http://schemas.openxmlformats.org/officeDocument/2006/relationships/hyperlink" Id="rId53"/>
    <Relationship TargetMode="External" Target="https://www.legis.iowa.gov/docs/ico/chapter/15.333.pdf" Type="http://schemas.openxmlformats.org/officeDocument/2006/relationships/hyperlink" Id="rId54"/>
    <Relationship TargetMode="External" Target="https://www.legis.iowa.gov/docs/ico/chapter/15.333A.pdf" Type="http://schemas.openxmlformats.org/officeDocument/2006/relationships/hyperlink" Id="rId55"/>
    <Relationship TargetMode="External" Target="https://www.legis.iowa.gov/docs/ico/chapter/15.329.pdf" Type="http://schemas.openxmlformats.org/officeDocument/2006/relationships/hyperlink" Id="rId56"/>
    <Relationship TargetMode="External" Target="https://www.legis.iowa.gov/docs/ico/chapter/15.335C.pdf" Type="http://schemas.openxmlformats.org/officeDocument/2006/relationships/hyperlink" Id="rId57"/>
    <Relationship TargetMode="External" Target="https://www.legis.iowa.gov/docs/iac/rule/261.68.3.pdf" Type="http://schemas.openxmlformats.org/officeDocument/2006/relationships/hyperlink" Id="rId58"/>
    <Relationship TargetMode="External" Target="https://www.legis.iowa.gov/docs/ico/chapter/15.335B.pdf" Type="http://schemas.openxmlformats.org/officeDocument/2006/relationships/hyperlink" Id="rId59"/>
    <Relationship TargetMode="External" Target="https://www.legis.iowa.gov/docs/ico/chapter/15.330.pdf" Type="http://schemas.openxmlformats.org/officeDocument/2006/relationships/hyperlink" Id="rId60"/>
    <Relationship TargetMode="External" Target="https://www.legis.iowa.gov/docs/ico/chapter/15.330A.pdf" Type="http://schemas.openxmlformats.org/officeDocument/2006/relationships/hyperlink" Id="rId61"/>
    <Relationship TargetMode="External" Target="https://www.legis.iowa.gov/docs/iac/rule/261.68.7.pdf" Type="http://schemas.openxmlformats.org/officeDocument/2006/relationships/hyperlink" Id="rId62"/>
    <Relationship TargetMode="External" Target="https://www.legis.iowa.gov/docs/ico/chapter/15A.1.pdf" Type="http://schemas.openxmlformats.org/officeDocument/2006/relationships/hyperlink" Id="rId63"/>
    <Relationship TargetMode="External" Target="https://www.legis.iowa.gov/docs/ico/chapter/15.pdf" Type="http://schemas.openxmlformats.org/officeDocument/2006/relationships/hyperlink" Id="rId64"/>
    <Relationship TargetMode="External" Target="https://www.legis.iowa.gov/docs/iac/rule/261.68.6.pdf" Type="http://schemas.openxmlformats.org/officeDocument/2006/relationships/hyperlink" Id="rId65"/>
    <Relationship TargetMode="External" Target="https://www.legis.iowa.gov/docs/iac/rule/261.1.3.pdf" Type="http://schemas.openxmlformats.org/officeDocument/2006/relationships/hyperlink" Id="rId66"/>
    <Relationship TargetMode="External" Target="https://www.legis.iowa.gov/docs/ico/chapter/15.330.pdf" Type="http://schemas.openxmlformats.org/officeDocument/2006/relationships/hyperlink" Id="rId67"/>
    <Relationship TargetMode="External" Target="https://www.legis.iowa.gov/docs/ico/chapter/15.335C.pdf" Type="http://schemas.openxmlformats.org/officeDocument/2006/relationships/hyperlink" Id="rId68"/>
    <Relationship TargetMode="External" Target="https://www.legis.iowa.gov/docs/iac/rule/261.68.8.pdf" Type="http://schemas.openxmlformats.org/officeDocument/2006/relationships/hyperlink" Id="rId69"/>
    <Relationship TargetMode="External" Target="https://www.legis.iowa.gov/docs/iac/rule/261.68.8.pdf" Type="http://schemas.openxmlformats.org/officeDocument/2006/relationships/hyperlink" Id="rId70"/>
    <Relationship TargetMode="External" Target="https://www.legis.iowa.gov/docs/iac/rule/261.68.3.pdf" Type="http://schemas.openxmlformats.org/officeDocument/2006/relationships/hyperlink" Id="rId71"/>
    <Relationship TargetMode="External" Target="https://www.legis.iowa.gov/docs/ico/chapter/15.294.pdf" Type="http://schemas.openxmlformats.org/officeDocument/2006/relationships/hyperlink" Id="rId72"/>
    <Relationship TargetMode="External" Target="https://www.legis.iowa.gov/docs/ico/chapter/15.pdf" Type="http://schemas.openxmlformats.org/officeDocument/2006/relationships/hyperlink" Id="rId73"/>
    <Relationship TargetMode="External" Target="https://www.legis.iowa.gov/docs/ico/chapter/15A.1.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