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MAJOR ECONOMIC GROWTH ATTRACTION (MEGA)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7/26/29</w:t>
      </w:r>
    </w:p>
    <w:p>
      <w:pPr>
        <w:spacing w:before="0" w:after="0"/>
        <w:ind w:left="120"/>
        <w:jc w:val="both"/>
      </w:pPr>
      <w:r>
        <w:rPr>
          <w:rFonts w:ascii="Times New Roman" w:hAnsi="Times New Roman"/>
          <w:b/>
          <w:i w:val="false"/>
          <w:color w:val="000000"/>
          <w:sz w:val="22"/>
        </w:rPr>
        <w:t>261—67.1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land” </w:t>
      </w:r>
      <w:r>
        <w:rPr>
          <w:rFonts w:ascii="Times New Roman" w:hAnsi="Times New Roman"/>
          <w:b w:val="false"/>
          <w:i w:val="false"/>
          <w:color w:val="000000"/>
          <w:sz w:val="22"/>
        </w:rPr>
        <w:t xml:space="preserve">means the same as defined in Iowa Code section 15.491(1A)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date” </w:t>
      </w:r>
      <w:r>
        <w:rPr>
          <w:rFonts w:ascii="Times New Roman" w:hAnsi="Times New Roman"/>
          <w:b w:val="false"/>
          <w:i w:val="false"/>
          <w:color w:val="000000"/>
          <w:sz w:val="22"/>
        </w:rPr>
        <w:t>means the date the board approved an application for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r>
        <w:rPr>
          <w:rFonts w:ascii="Times New Roman" w:hAnsi="Times New Roman"/>
          <w:b w:val="false"/>
          <w:i w:val="false"/>
          <w:color w:val="000000"/>
          <w:sz w:val="22"/>
        </w:rPr>
        <w:t xml:space="preserve">means the same as defined in Iowa Code section 15.491(2)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 </w:t>
      </w:r>
      <w:r>
        <w:rPr>
          <w:rFonts w:ascii="Times New Roman" w:hAnsi="Times New Roman"/>
          <w:b w:val="false"/>
          <w:i w:val="false"/>
          <w:color w:val="000000"/>
          <w:sz w:val="22"/>
        </w:rPr>
        <w:t xml:space="preserve">means the same as defined in Iowa Code section 15.491(3)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corporation or other business entity organized for profit under the laws of the state of Iowa or another state, under federal statutes, or under the laws of another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site” </w:t>
      </w:r>
      <w:r>
        <w:rPr>
          <w:rFonts w:ascii="Times New Roman" w:hAnsi="Times New Roman"/>
          <w:b w:val="false"/>
          <w:i w:val="false"/>
          <w:color w:val="000000"/>
          <w:sz w:val="22"/>
        </w:rPr>
        <w:t xml:space="preserve">means the same as defined in Iowa Code section 15.491(4)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 xml:space="preserve">means the same as defined in Iowa Code section 15.491(5)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“Created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“create jobs” </w:t>
      </w:r>
      <w:r>
        <w:rPr>
          <w:rFonts w:ascii="Times New Roman" w:hAnsi="Times New Roman"/>
          <w:b w:val="false"/>
          <w:i w:val="false"/>
          <w:color w:val="000000"/>
          <w:sz w:val="22"/>
        </w:rPr>
        <w:t xml:space="preserve">means the same as defined in Iowa Code section 15.491(8)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that meets the conditions of Iowa Code section 15.492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business”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9I.1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 </w:t>
      </w:r>
      <w:r>
        <w:rPr>
          <w:rFonts w:ascii="Times New Roman" w:hAnsi="Times New Roman"/>
          <w:b w:val="false"/>
          <w:i w:val="false"/>
          <w:color w:val="000000"/>
          <w:sz w:val="22"/>
        </w:rPr>
        <w:t xml:space="preserve">means the same as defined in Iowa Code section 15.491(12)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period” </w:t>
      </w:r>
      <w:r>
        <w:rPr>
          <w:rFonts w:ascii="Times New Roman" w:hAnsi="Times New Roman"/>
          <w:b w:val="false"/>
          <w:i w:val="false"/>
          <w:color w:val="000000"/>
          <w:sz w:val="22"/>
        </w:rPr>
        <w:t xml:space="preserve">means the same as defined in Iowa Code section 15.491(13)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period completion date” </w:t>
      </w:r>
      <w:r>
        <w:rPr>
          <w:rFonts w:ascii="Times New Roman" w:hAnsi="Times New Roman"/>
          <w:b w:val="false"/>
          <w:i w:val="false"/>
          <w:color w:val="000000"/>
          <w:sz w:val="22"/>
        </w:rPr>
        <w:t xml:space="preserve">means the same as defined in Iowa Code section 15.491(14)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15.491(16)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benefits” </w:t>
      </w:r>
      <w:r>
        <w:rPr>
          <w:rFonts w:ascii="Times New Roman" w:hAnsi="Times New Roman"/>
          <w:b w:val="false"/>
          <w:i w:val="false"/>
          <w:color w:val="000000"/>
          <w:sz w:val="22"/>
        </w:rPr>
        <w:t xml:space="preserve">means tax incentives or an exemption to restrictions on agricultural land holdings authorized by the board pursuant to Iowa Code section 15.493(3) or 15.493(4)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the same as defined in Iowa Code section 15.491(17)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 xml:space="preserve">means the same as defined in Iowa Code section 15.491(18)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period” </w:t>
      </w:r>
      <w:r>
        <w:rPr>
          <w:rFonts w:ascii="Times New Roman" w:hAnsi="Times New Roman"/>
          <w:b w:val="false"/>
          <w:i w:val="false"/>
          <w:color w:val="000000"/>
          <w:sz w:val="22"/>
        </w:rPr>
        <w:t xml:space="preserve">means the same as defined in Iowa Code section 15.491(19)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jobs” </w:t>
      </w:r>
      <w:r>
        <w:rPr>
          <w:rFonts w:ascii="Times New Roman" w:hAnsi="Times New Roman"/>
          <w:b w:val="false"/>
          <w:i w:val="false"/>
          <w:color w:val="000000"/>
          <w:sz w:val="22"/>
        </w:rPr>
        <w:t xml:space="preserve">means created jobs that meet the applicable wage requirements established in Iowa Code section 15.492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investment” </w:t>
      </w:r>
      <w:r>
        <w:rPr>
          <w:rFonts w:ascii="Times New Roman" w:hAnsi="Times New Roman"/>
          <w:b w:val="false"/>
          <w:i w:val="false"/>
          <w:color w:val="000000"/>
          <w:sz w:val="22"/>
        </w:rPr>
        <w:t xml:space="preserve">means the same as defined in Iowa Code section 15.491(20)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“Qualifying investment” includes machinery and equipment and infrastructure costs incurred by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wage threshold” </w:t>
      </w:r>
      <w:r>
        <w:rPr>
          <w:rFonts w:ascii="Times New Roman" w:hAnsi="Times New Roman"/>
          <w:b w:val="false"/>
          <w:i w:val="false"/>
          <w:color w:val="000000"/>
          <w:sz w:val="22"/>
        </w:rPr>
        <w:t xml:space="preserve">means the same as defined in Iowa Code section 15.491(21)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incentive” </w:t>
      </w:r>
      <w:r>
        <w:rPr>
          <w:rFonts w:ascii="Times New Roman" w:hAnsi="Times New Roman"/>
          <w:b w:val="false"/>
          <w:i w:val="false"/>
          <w:color w:val="000000"/>
          <w:sz w:val="22"/>
        </w:rPr>
        <w:t xml:space="preserve">means the same as defined in Iowa Code section 15.491(23)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w:t>
      </w:r>
      <w:r>
        <w:rPr>
          <w:rFonts w:ascii="Times New Roman" w:hAnsi="Times New Roman"/>
          <w:b w:val="false"/>
          <w:i w:val="false"/>
          <w:color w:val="000000"/>
          <w:sz w:val="22"/>
        </w:rPr>
        <w:t> </w:t>
      </w:r>
      <w:r>
        <w:rPr>
          <w:rFonts w:ascii="Times New Roman" w:hAnsi="Times New Roman"/>
          <w:b w:val="false"/>
          <w:i/>
          <w:color w:val="000000"/>
          <w:sz w:val="22"/>
        </w:rPr>
        <w:t xml:space="preserve">Project requirements. </w:t>
      </w:r>
      <w:r>
        <w:rPr>
          <w:rFonts w:ascii="Times New Roman" w:hAnsi="Times New Roman"/>
          <w:b w:val="false"/>
          <w:i w:val="false"/>
          <w:color w:val="000000"/>
          <w:sz w:val="22"/>
        </w:rPr>
        <w:t>The business’ proposed project site and qualifying investment in the project must meet the requirements of Iowa Code section 15.492(1)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The authority will not accept an application from a business that proposes a project at a location that is not a certified site or that the business does not currently have a controlling interest in at the time of application. The authority may accept an application from a business that proposes a project on a certified site that is not currently greater than 250 acres if the process to certify additional acres has been initiated and the certified site will exceed 250 acres following certification of the additional acres. The authority will determine whether a site is suitable for a project based on the following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approval of the project as required by subrule </w:t>
      </w:r>
      <w:hyperlink r:id="rId8">
        <w:r>
          <w:rPr>
            <w:rStyle w:val="Hyperlink"/>
            <w:rFonts w:ascii="Times New Roman" w:hAnsi="Times New Roman"/>
            <w:b w:val="false"/>
            <w:i w:val="false"/>
            <w:color w:val="000000"/>
            <w:sz w:val="22"/>
          </w:rPr>
          <w:t>67.2(2)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impact of the project on surrounding businesses and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availability of or proposed plans to develop the necessary infrastructure to support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w:t>
      </w:r>
      <w:r>
        <w:rPr>
          <w:rFonts w:ascii="Times New Roman" w:hAnsi="Times New Roman"/>
          <w:b w:val="false"/>
          <w:i w:val="false"/>
          <w:color w:val="000000"/>
          <w:sz w:val="22"/>
        </w:rPr>
        <w:t> </w:t>
      </w:r>
      <w:r>
        <w:rPr>
          <w:rFonts w:ascii="Times New Roman" w:hAnsi="Times New Roman"/>
          <w:b w:val="false"/>
          <w:i/>
          <w:color w:val="000000"/>
          <w:sz w:val="22"/>
        </w:rPr>
        <w:t xml:space="preserve">Community approval and local match. </w:t>
      </w:r>
      <w:r>
        <w:rPr>
          <w:rFonts w:ascii="Times New Roman" w:hAnsi="Times New Roman"/>
          <w:b w:val="false"/>
          <w:i w:val="false"/>
          <w:color w:val="000000"/>
          <w:sz w:val="22"/>
        </w:rPr>
        <w:t>Community approval of the project by ordinance or resolution is required as specified in Iowa Code section 15.492(1)</w:t>
      </w:r>
      <w:r>
        <w:rPr>
          <w:rFonts w:ascii="Times New Roman" w:hAnsi="Times New Roman"/>
          <w:b w:val="false"/>
          <w:i/>
          <w:color w:val="000000"/>
          <w:sz w:val="22"/>
        </w:rPr>
        <w:t>“c”</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 Local match may be required from the community or other relevant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67.2(3)</w:t>
      </w:r>
      <w:r>
        <w:rPr>
          <w:rFonts w:ascii="Times New Roman" w:hAnsi="Times New Roman"/>
          <w:b w:val="false"/>
          <w:i w:val="false"/>
          <w:color w:val="000000"/>
          <w:sz w:val="22"/>
        </w:rPr>
        <w:t> </w:t>
      </w:r>
      <w:r>
        <w:rPr>
          <w:rFonts w:ascii="Times New Roman" w:hAnsi="Times New Roman"/>
          <w:b w:val="false"/>
          <w:i/>
          <w:color w:val="000000"/>
          <w:sz w:val="22"/>
        </w:rPr>
        <w:t xml:space="preserve">Business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must be an eligible business type as identified in Iowa Code section 15.492(1)</w:t>
      </w:r>
      <w:r>
        <w:rPr>
          <w:rFonts w:ascii="Times New Roman" w:hAnsi="Times New Roman"/>
          <w:b w:val="false"/>
          <w:i/>
          <w:color w:val="000000"/>
          <w:sz w:val="22"/>
        </w:rPr>
        <w:t>“d”</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determining whether a business is an ineligible retail business pursuant to Iowa Code section 15.492(1)</w:t>
      </w:r>
      <w:r>
        <w:rPr>
          <w:rFonts w:ascii="Times New Roman" w:hAnsi="Times New Roman"/>
          <w:b w:val="false"/>
          <w:i/>
          <w:color w:val="000000"/>
          <w:sz w:val="22"/>
        </w:rPr>
        <w:t>“d”</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“retail business” means any business engaged in the business of sale at retail of tangible personal property or taxable services in this state or online. “Sale at retail” means the same as defined in Iowa Code section </w:t>
      </w:r>
      <w:hyperlink r:id="rId9">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Any business obligated to collect sales or use tax under Iowa Code chapter </w:t>
      </w:r>
      <w:hyperlink r:id="rId10">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is an ineligible retail business. A service business is not eligible for the program unless a significant proportion of its sales, as determined by the authority, are outside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67.2(4)</w:t>
      </w:r>
      <w:r>
        <w:rPr>
          <w:rFonts w:ascii="Times New Roman" w:hAnsi="Times New Roman"/>
          <w:b w:val="false"/>
          <w:i w:val="false"/>
          <w:color w:val="000000"/>
          <w:sz w:val="22"/>
        </w:rPr>
        <w:t> </w:t>
      </w:r>
      <w:r>
        <w:rPr>
          <w:rFonts w:ascii="Times New Roman" w:hAnsi="Times New Roman"/>
          <w:b w:val="false"/>
          <w:i/>
          <w:color w:val="000000"/>
          <w:sz w:val="22"/>
        </w:rPr>
        <w:t xml:space="preserve">Relocations and reductions in operations. </w:t>
      </w:r>
      <w:r>
        <w:rPr>
          <w:rFonts w:ascii="Times New Roman" w:hAnsi="Times New Roman"/>
          <w:b w:val="false"/>
          <w:i w:val="false"/>
          <w:color w:val="000000"/>
          <w:sz w:val="22"/>
        </w:rPr>
        <w:t>The authority will determine whether a business is ineligible due to a relocation or reduction in operations pursuant to Iowa Code section 15.492(1)</w:t>
      </w:r>
      <w:r>
        <w:rPr>
          <w:rFonts w:ascii="Times New Roman" w:hAnsi="Times New Roman"/>
          <w:b w:val="false"/>
          <w:i/>
          <w:color w:val="000000"/>
          <w:sz w:val="22"/>
        </w:rPr>
        <w:t>“e”</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67.2(5)</w:t>
      </w:r>
      <w:r>
        <w:rPr>
          <w:rFonts w:ascii="Times New Roman" w:hAnsi="Times New Roman"/>
          <w:b w:val="false"/>
          <w:i w:val="false"/>
          <w:color w:val="000000"/>
          <w:sz w:val="22"/>
        </w:rPr>
        <w:t> </w:t>
      </w:r>
      <w:r>
        <w:rPr>
          <w:rFonts w:ascii="Times New Roman" w:hAnsi="Times New Roman"/>
          <w:b w:val="false"/>
          <w:i/>
          <w:color w:val="000000"/>
          <w:sz w:val="22"/>
        </w:rPr>
        <w:t xml:space="preserve">Jobs. </w:t>
      </w:r>
      <w:r>
        <w:rPr>
          <w:rFonts w:ascii="Times New Roman" w:hAnsi="Times New Roman"/>
          <w:b w:val="false"/>
          <w:i w:val="false"/>
          <w:color w:val="000000"/>
          <w:sz w:val="22"/>
        </w:rPr>
        <w:t xml:space="preserve">A business must propose to create qualified jobs.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comprehensive benefits. </w:t>
      </w:r>
      <w:r>
        <w:rPr>
          <w:rFonts w:ascii="Times New Roman" w:hAnsi="Times New Roman"/>
          <w:b w:val="false"/>
          <w:i w:val="false"/>
          <w:color w:val="000000"/>
          <w:sz w:val="22"/>
        </w:rPr>
        <w:t>The benefits package provided pursuant to Iowa Code section 15.492(1)</w:t>
      </w:r>
      <w:r>
        <w:rPr>
          <w:rFonts w:ascii="Times New Roman" w:hAnsi="Times New Roman"/>
          <w:b w:val="false"/>
          <w:i/>
          <w:color w:val="000000"/>
          <w:sz w:val="22"/>
        </w:rPr>
        <w:t>“g”</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 shall meet the criteria established by the board. The board will periodically approve such criteria to reflect the most current benefits package typically offered by employers. The criteria established by the board may include but not be limited to premium percentages to be paid by the business, deductible amounts, and other such criteria as determined necessary to the evaluation of benefits offered by a business. A business shall provide comprehensive benefits to all jobs included in the base employment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67.2(7)</w:t>
      </w:r>
      <w:r>
        <w:rPr>
          <w:rFonts w:ascii="Times New Roman" w:hAnsi="Times New Roman"/>
          <w:b w:val="false"/>
          <w:i w:val="false"/>
          <w:color w:val="000000"/>
          <w:sz w:val="22"/>
        </w:rPr>
        <w:t> </w:t>
      </w:r>
      <w:r>
        <w:rPr>
          <w:rFonts w:ascii="Times New Roman" w:hAnsi="Times New Roman"/>
          <w:b w:val="false"/>
          <w:i/>
          <w:color w:val="000000"/>
          <w:sz w:val="22"/>
        </w:rPr>
        <w:t xml:space="preserve">Violations of law. </w:t>
      </w:r>
      <w:r>
        <w:rPr>
          <w:rFonts w:ascii="Times New Roman" w:hAnsi="Times New Roman"/>
          <w:b w:val="false"/>
          <w:i w:val="false"/>
          <w:color w:val="000000"/>
          <w:sz w:val="22"/>
        </w:rPr>
        <w:t>If the authority finds that a business has a record of violations of law over a period of time that tends to show a consistent pattern as described in Iowa Code section 15.492(1)</w:t>
      </w:r>
      <w:r>
        <w:rPr>
          <w:rFonts w:ascii="Times New Roman" w:hAnsi="Times New Roman"/>
          <w:b w:val="false"/>
          <w:i/>
          <w:color w:val="000000"/>
          <w:sz w:val="22"/>
        </w:rPr>
        <w:t>“h”</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 the business shall not qualify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67.2(8)</w:t>
      </w:r>
      <w:r>
        <w:rPr>
          <w:rFonts w:ascii="Times New Roman" w:hAnsi="Times New Roman"/>
          <w:b w:val="false"/>
          <w:i w:val="false"/>
          <w:color w:val="000000"/>
          <w:sz w:val="22"/>
        </w:rPr>
        <w:t> </w:t>
      </w:r>
      <w:r>
        <w:rPr>
          <w:rFonts w:ascii="Times New Roman" w:hAnsi="Times New Roman"/>
          <w:b w:val="false"/>
          <w:i/>
          <w:color w:val="000000"/>
          <w:sz w:val="22"/>
        </w:rPr>
        <w:t xml:space="preserve">Applicant’s past or current performance. </w:t>
      </w:r>
      <w:r>
        <w:rPr>
          <w:rFonts w:ascii="Times New Roman" w:hAnsi="Times New Roman"/>
          <w:b w:val="false"/>
          <w:i w:val="false"/>
          <w:color w:val="000000"/>
          <w:sz w:val="22"/>
        </w:rPr>
        <w:t>If an applicant received a prior award or other benefit through any program administered by the authority, the authority and board will consider the applicant’s past or current performance under the prior award or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67.2(9)</w:t>
      </w:r>
      <w:r>
        <w:rPr>
          <w:rFonts w:ascii="Times New Roman" w:hAnsi="Times New Roman"/>
          <w:b w:val="false"/>
          <w:i w:val="false"/>
          <w:color w:val="000000"/>
          <w:sz w:val="22"/>
        </w:rPr>
        <w:t> </w:t>
      </w:r>
      <w:r>
        <w:rPr>
          <w:rFonts w:ascii="Times New Roman" w:hAnsi="Times New Roman"/>
          <w:b w:val="false"/>
          <w:i/>
          <w:color w:val="000000"/>
          <w:sz w:val="22"/>
        </w:rPr>
        <w:t xml:space="preserve">Results of due diligence review. </w:t>
      </w:r>
      <w:r>
        <w:rPr>
          <w:rFonts w:ascii="Times New Roman" w:hAnsi="Times New Roman"/>
          <w:b w:val="false"/>
          <w:i w:val="false"/>
          <w:color w:val="000000"/>
          <w:sz w:val="22"/>
        </w:rPr>
        <w:t xml:space="preserve">The authority will complete a due diligence review, including but not limited to lien searches, reports of violations, lawsuits and other relevant information about the applicant. A business may be ineligible based on results of the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67.2(10)</w:t>
      </w:r>
      <w:r>
        <w:rPr>
          <w:rFonts w:ascii="Times New Roman" w:hAnsi="Times New Roman"/>
          <w:b w:val="false"/>
          <w:i w:val="false"/>
          <w:color w:val="000000"/>
          <w:sz w:val="22"/>
        </w:rPr>
        <w:t> </w:t>
      </w:r>
      <w:r>
        <w:rPr>
          <w:rFonts w:ascii="Times New Roman" w:hAnsi="Times New Roman"/>
          <w:b w:val="false"/>
          <w:i/>
          <w:color w:val="000000"/>
          <w:sz w:val="22"/>
        </w:rPr>
        <w:t xml:space="preserve">Other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consider any applicable additional factors pursuant to Iowa Code section 15.492(2)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to determine whether a business or a business’s project should be considered eligible or ineligible for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evaluating the economic impact of a project pursuant to Iowa Code section 15.492(2)</w:t>
      </w:r>
      <w:r>
        <w:rPr>
          <w:rFonts w:ascii="Times New Roman" w:hAnsi="Times New Roman"/>
          <w:b w:val="false"/>
          <w:i/>
          <w:color w:val="000000"/>
          <w:sz w:val="22"/>
        </w:rPr>
        <w:t>“a”</w:t>
      </w:r>
      <w:r>
        <w:rPr>
          <w:rFonts w:ascii="Times New Roman" w:hAnsi="Times New Roman"/>
          <w:b w:val="false"/>
          <w:i w:val="false"/>
          <w:color w:val="000000"/>
          <w:sz w:val="22"/>
        </w:rPr>
        <w:t xml:space="preserve">(3)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the authority will primarily measure economic impact by an independent analysis conducted by a contractor chosen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businesses may be considered ineligible for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Businesses that have not proposed a sufficient number of created jobs or qualified jobs to justify program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Businesses that do not clearly identify ownership and affiliated businesses to the authority’s satisfaction.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Businesses that do not have significant market share or national recognition in their industry.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67.2(11)</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r>
        <w:rPr>
          <w:rFonts w:ascii="Times New Roman" w:hAnsi="Times New Roman"/>
          <w:b w:val="false"/>
          <w:i w:val="false"/>
          <w:color w:val="000000"/>
          <w:sz w:val="22"/>
        </w:rPr>
        <w:t>A project representing solely acquisition of a business as a going concern that does not include qualified jobs and qualifying investment at the acquired business facility is not eligible for the program. A qualified project that occurs following acquisition of a business as a going concern may be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67.2(12)</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w:t>
      </w:r>
      <w:r>
        <w:rPr>
          <w:rFonts w:ascii="Times New Roman" w:hAnsi="Times New Roman"/>
          <w:b w:val="false"/>
          <w:i w:val="false"/>
          <w:color w:val="000000"/>
          <w:sz w:val="22"/>
        </w:rPr>
        <w:t>The authority will not accept applications for projects that have been initiated or will be initiated prior to board consideration of the business’s application for the program unless the business establishes that not initiating the project prior to board consideration of the application would result in undue hardship or that extenuating circumstances necessitate initiating the project prior to board consideration of the business’s application for the program. Whether an undue hardship or extenuating circumstance exists will be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 may indicate that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start of construction of new or expanded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start of rehabilitation of existing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purchase or leasing of existing buildings;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installation of new machinery and equipment or new computers to be used in the operation of the business’s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shall not indicate a project has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purchase of land or signing an option to purchase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Earthmoving or other site development activities not involving actual building construction, expansion or rehabilitation;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Acquisition of a business as a going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costs incurred prior to the award date are not eligible qualifying investment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261—67.3</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Businesses may be invited to submit applications for the program to the authority. Businesses shall utilize a standardized application developed by the authority. A signature from an official authorized to represent the affected local community is required to indicate that the community supports the project. The application shall include an ordinance or resolution of the community’s governing body approving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provide any information requested by a contractor selected by the authority to evaluate the economic impact of the project pursuant to subrule </w:t>
      </w:r>
      <w:hyperlink r:id="rId11">
        <w:r>
          <w:rPr>
            <w:rStyle w:val="Hyperlink"/>
            <w:rFonts w:ascii="Times New Roman" w:hAnsi="Times New Roman"/>
            <w:b w:val="false"/>
            <w:i w:val="false"/>
            <w:color w:val="000000"/>
            <w:sz w:val="22"/>
          </w:rPr>
          <w:t>67.2(10)</w:t>
        </w:r>
      </w:hyperlink>
      <w:r>
        <w:rPr>
          <w:rFonts w:ascii="Times New Roman" w:hAnsi="Times New Roman"/>
          <w:b w:val="false"/>
          <w:i w:val="false"/>
          <w:color w:val="000000"/>
          <w:sz w:val="22"/>
        </w:rPr>
        <w:t xml:space="preserve">. Such information will be held confidential by the authority to the extent allowed by Iowa Code sections </w:t>
      </w:r>
      <w:hyperlink r:id="rId12">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application process, the authority will identify any assistance previously awarded for which an applicant would no longer be eligible pursuant to Iowa Code section 15.499(1)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11. The authority may also identify assistance the applicant may be prohibited from receiving in the future pursuant to Iowa Code section 15.499(1)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11, during the application process or may identify such prohibition at a later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color w:val="000000"/>
          <w:sz w:val="22"/>
        </w:rPr>
        <w:t xml:space="preserve">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required by Iowa Code section 15.493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5, shall equal the sum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cost incurred by the authority to conduct an independent analysis of the economic impact of the project, not to exceed $50,000;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One half of 1 percent of the amount of tax incentives approved.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issue an invoice for the portion of the fee assessed pursuant to subparagraph </w:t>
      </w:r>
      <w:hyperlink r:id="rId14">
        <w:r>
          <w:rPr>
            <w:rStyle w:val="Hyperlink"/>
            <w:rFonts w:ascii="Times New Roman" w:hAnsi="Times New Roman"/>
            <w:b w:val="false"/>
            <w:i w:val="false"/>
            <w:color w:val="000000"/>
            <w:sz w:val="22"/>
          </w:rPr>
          <w:t>67.3(2)</w:t>
        </w:r>
      </w:hyperlink>
      <w:r>
        <w:rPr>
          <w:rFonts w:ascii="Times New Roman" w:hAnsi="Times New Roman"/>
          <w:b w:val="false"/>
          <w:i/>
          <w:color w:val="000000"/>
          <w:sz w:val="22"/>
        </w:rPr>
        <w:t>“a”</w:t>
      </w:r>
      <w:r>
        <w:rPr>
          <w:rFonts w:ascii="Times New Roman" w:hAnsi="Times New Roman"/>
          <w:b w:val="false"/>
          <w:i w:val="false"/>
          <w:color w:val="000000"/>
          <w:sz w:val="22"/>
        </w:rPr>
        <w:t xml:space="preserve">(1) following completion of the independent analysis. Payment shall be due within 30 days after the date the invoice is issued or a later date identified in writing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issue an invoice for the portion of the fee assessed pursuant to subparagraph </w:t>
      </w:r>
      <w:hyperlink r:id="rId15">
        <w:r>
          <w:rPr>
            <w:rStyle w:val="Hyperlink"/>
            <w:rFonts w:ascii="Times New Roman" w:hAnsi="Times New Roman"/>
            <w:b w:val="false"/>
            <w:i w:val="false"/>
            <w:color w:val="000000"/>
            <w:sz w:val="22"/>
          </w:rPr>
          <w:t>67.3(2)</w:t>
        </w:r>
      </w:hyperlink>
      <w:r>
        <w:rPr>
          <w:rFonts w:ascii="Times New Roman" w:hAnsi="Times New Roman"/>
          <w:b w:val="false"/>
          <w:i/>
          <w:color w:val="000000"/>
          <w:sz w:val="22"/>
        </w:rPr>
        <w:t>“a”</w:t>
      </w:r>
      <w:r>
        <w:rPr>
          <w:rFonts w:ascii="Times New Roman" w:hAnsi="Times New Roman"/>
          <w:b w:val="false"/>
          <w:i w:val="false"/>
          <w:color w:val="000000"/>
          <w:sz w:val="22"/>
        </w:rPr>
        <w:t xml:space="preserve">(2) following board approval of tax incentives. Payment shall be equally divided over the term of the contract entered into pursuant to Iowa Code section 15.494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6. Payments shall be due by the dates identified by the authority in the invoice or a later date identified in writing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67.3(3)</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wage requirements. </w:t>
      </w:r>
      <w:r>
        <w:rPr>
          <w:rFonts w:ascii="Times New Roman" w:hAnsi="Times New Roman"/>
          <w:b w:val="false"/>
          <w:i w:val="false"/>
          <w:color w:val="000000"/>
          <w:sz w:val="22"/>
        </w:rPr>
        <w:t xml:space="preserve">The qualifying wage threshold applicable to a project is the threshold in effect on the date the fully completed project application is received by the authority. If such an application is received but not acted upon by the board before the qualifying wage thresholds are updated, the thresholds in effect on the date the application was received will remain in effect for a period of three months after the month the thresholds were updated. The authority shall have sole discretion to determine whether an application is fully completed. Qualifying wage thresholds will be calculated and applied as described in rule </w:t>
      </w:r>
      <w:hyperlink r:id="rId16">
        <w:r>
          <w:rPr>
            <w:rStyle w:val="Hyperlink"/>
            <w:rFonts w:ascii="Times New Roman" w:hAnsi="Times New Roman"/>
            <w:b w:val="false"/>
            <w:i w:val="false"/>
            <w:color w:val="000000"/>
            <w:sz w:val="22"/>
          </w:rPr>
          <w:t>261—67.8</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67.3(4)</w:t>
      </w:r>
      <w:r>
        <w:rPr>
          <w:rFonts w:ascii="Times New Roman" w:hAnsi="Times New Roman"/>
          <w:b w:val="false"/>
          <w:i w:val="false"/>
          <w:color w:val="000000"/>
          <w:sz w:val="22"/>
        </w:rPr>
        <w:t> </w:t>
      </w:r>
      <w:r>
        <w:rPr>
          <w:rFonts w:ascii="Times New Roman" w:hAnsi="Times New Roman"/>
          <w:b w:val="false"/>
          <w:i/>
          <w:color w:val="000000"/>
          <w:sz w:val="22"/>
        </w:rPr>
        <w:t xml:space="preserve">Job requirements. </w:t>
      </w:r>
      <w:r>
        <w:rPr>
          <w:rFonts w:ascii="Times New Roman" w:hAnsi="Times New Roman"/>
          <w:b w:val="false"/>
          <w:i w:val="false"/>
          <w:color w:val="000000"/>
          <w:sz w:val="22"/>
        </w:rPr>
        <w:t xml:space="preserve">Job requirements applicable to a project, identified as described in rule </w:t>
      </w:r>
      <w:hyperlink r:id="rId17">
        <w:r>
          <w:rPr>
            <w:rStyle w:val="Hyperlink"/>
            <w:rFonts w:ascii="Times New Roman" w:hAnsi="Times New Roman"/>
            <w:b w:val="false"/>
            <w:i w:val="false"/>
            <w:color w:val="000000"/>
            <w:sz w:val="22"/>
          </w:rPr>
          <w:t>261—67.7</w:t>
        </w:r>
      </w:hyperlink>
      <w:r>
        <w:rPr>
          <w:rFonts w:ascii="Times New Roman" w:hAnsi="Times New Roman"/>
          <w:b w:val="false"/>
          <w:i w:val="false"/>
          <w:color w:val="000000"/>
          <w:sz w:val="22"/>
        </w:rPr>
        <w:t xml:space="preserve">(15), will be established at the time of application. Job requirements will be based on the base employment level as of the date the application was fully completed and submitted to the authority and eligible business’s job projections and will be utilized to determine eligibility and the amount of tax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67.3(5)</w:t>
      </w:r>
      <w:r>
        <w:rPr>
          <w:rFonts w:ascii="Times New Roman" w:hAnsi="Times New Roman"/>
          <w:b w:val="false"/>
          <w:i w:val="false"/>
          <w:color w:val="000000"/>
          <w:sz w:val="22"/>
        </w:rPr>
        <w:t> </w:t>
      </w:r>
      <w:r>
        <w:rPr>
          <w:rFonts w:ascii="Times New Roman" w:hAnsi="Times New Roman"/>
          <w:b w:val="false"/>
          <w:i/>
          <w:color w:val="000000"/>
          <w:sz w:val="22"/>
        </w:rPr>
        <w:t xml:space="preserve">Investment requirements. </w:t>
      </w:r>
      <w:r>
        <w:rPr>
          <w:rFonts w:ascii="Times New Roman" w:hAnsi="Times New Roman"/>
          <w:b w:val="false"/>
          <w:i w:val="false"/>
          <w:color w:val="000000"/>
          <w:sz w:val="22"/>
        </w:rPr>
        <w:t>The investment requirements applicable to a project will be established at the time of application. Investment requirements are based on an eligible business’s estimates of project costs and will be utilized to determine eligibility and the amount of tax incentives.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67.3(6)</w:t>
      </w:r>
      <w:r>
        <w:rPr>
          <w:rFonts w:ascii="Times New Roman" w:hAnsi="Times New Roman"/>
          <w:b w:val="false"/>
          <w:i w:val="false"/>
          <w:color w:val="000000"/>
          <w:sz w:val="22"/>
        </w:rPr>
        <w:t> </w:t>
      </w:r>
      <w:r>
        <w:rPr>
          <w:rFonts w:ascii="Times New Roman" w:hAnsi="Times New Roman"/>
          <w:b w:val="false"/>
          <w:i/>
          <w:color w:val="000000"/>
          <w:sz w:val="22"/>
        </w:rPr>
        <w:t xml:space="preserve">Negotiations. </w:t>
      </w:r>
      <w:r>
        <w:rPr>
          <w:rFonts w:ascii="Times New Roman" w:hAnsi="Times New Roman"/>
          <w:b w:val="false"/>
          <w:i w:val="false"/>
          <w:color w:val="000000"/>
          <w:sz w:val="22"/>
        </w:rPr>
        <w:t xml:space="preserve">Authority staff and the board may negotiate with an applicant concerning dollar amounts, terms, conditions of award, or any other elements of the proposed award. All program benefits available under the program are subject to negotiation. The board and the authority will attempt to treat similarly situated applicants similarly. However, the amount, type, and terms of program benefits are necessarily dependent on many factors, and awards shall be entirely at the discretion of the board. The board, in consultation with authority staff, will attempt to determine the appropriate program benefits, and the board will make a good-faith effort to provide only the amount of program benefits necessary to facilitate the project. </w:t>
      </w:r>
    </w:p>
    <w:p>
      <w:pPr>
        <w:spacing w:before="0" w:after="0"/>
        <w:ind w:left="120"/>
        <w:jc w:val="both"/>
      </w:pPr>
      <w:r>
        <w:rPr>
          <w:rFonts w:ascii="Times New Roman" w:hAnsi="Times New Roman"/>
          <w:b w:val="false"/>
          <w:i w:val="false"/>
          <w:color w:val="000000"/>
          <w:sz w:val="22"/>
        </w:rPr>
        <w:t>The authority shall consider all of the following factors in negotiating with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of need. </w:t>
      </w:r>
      <w:r>
        <w:rPr>
          <w:rFonts w:ascii="Times New Roman" w:hAnsi="Times New Roman"/>
          <w:b w:val="false"/>
          <w:i w:val="false"/>
          <w:color w:val="000000"/>
          <w:sz w:val="22"/>
        </w:rPr>
        <w:t>The authority will determine a project’s level of need based on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likely returns of the project are inadequate to motivate a company decision maker to proceed with the project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business is deciding between an Iowa site and a site in another state for its project and the cost of completing the project at the out-of-state site is demonstrably lower, including if any form of incentives have been offered by another state or local government. Such a condition indicates that tax incentives may be needed to equalize the cost differential between the two sites. The authority will attempt to quantify the cost differential between the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state and local assistance available to the business from sources other than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and quality of jobs. </w:t>
      </w:r>
      <w:r>
        <w:rPr>
          <w:rFonts w:ascii="Times New Roman" w:hAnsi="Times New Roman"/>
          <w:b w:val="false"/>
          <w:i w:val="false"/>
          <w:color w:val="000000"/>
          <w:sz w:val="22"/>
        </w:rPr>
        <w:t>The authority will determine the quality of jobs consistent with the factors listed in Iowa Code section 15.492(2)</w:t>
      </w:r>
      <w:r>
        <w:rPr>
          <w:rFonts w:ascii="Times New Roman" w:hAnsi="Times New Roman"/>
          <w:b w:val="false"/>
          <w:i/>
          <w:color w:val="000000"/>
          <w:sz w:val="22"/>
        </w:rPr>
        <w:t>“a”</w:t>
      </w:r>
      <w:r>
        <w:rPr>
          <w:rFonts w:ascii="Times New Roman" w:hAnsi="Times New Roman"/>
          <w:b w:val="false"/>
          <w:i w:val="false"/>
          <w:color w:val="000000"/>
          <w:sz w:val="22"/>
        </w:rPr>
        <w:t xml:space="preserve">(1)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Percentage of created jobs that are qualified jobs. </w:t>
      </w:r>
      <w:r>
        <w:rPr>
          <w:rFonts w:ascii="Times New Roman" w:hAnsi="Times New Roman"/>
          <w:b w:val="false"/>
          <w:i w:val="false"/>
          <w:color w:val="000000"/>
          <w:sz w:val="22"/>
        </w:rPr>
        <w:t>The authority will consider the number of qualifying jobs in proportion to the total number of created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Amount of investment. </w:t>
      </w:r>
      <w:r>
        <w:rPr>
          <w:rFonts w:ascii="Times New Roman" w:hAnsi="Times New Roman"/>
          <w:b w:val="false"/>
          <w:i w:val="false"/>
          <w:color w:val="000000"/>
          <w:sz w:val="22"/>
        </w:rPr>
        <w:t xml:space="preserve">The authority will consider the total amount of qualifying investment proposed by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w:t>
      </w:r>
      <w:r>
        <w:rPr>
          <w:rFonts w:ascii="Times New Roman" w:hAnsi="Times New Roman"/>
          <w:b w:val="false"/>
          <w:i w:val="false"/>
          <w:color w:val="000000"/>
          <w:sz w:val="22"/>
        </w:rPr>
        <w:t xml:space="preserve">Economic impact will be primarily measured by an independent analysis conducted by a contractor chosen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Effect on likely suppliers to the applicant business. </w:t>
      </w:r>
      <w:r>
        <w:rPr>
          <w:rFonts w:ascii="Times New Roman" w:hAnsi="Times New Roman"/>
          <w:b w:val="false"/>
          <w:i w:val="false"/>
          <w:color w:val="000000"/>
          <w:sz w:val="22"/>
        </w:rPr>
        <w:t xml:space="preserve">The authority will consider whether a project increases demand for goods or services offered by other businesses in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67.3(7)</w:t>
      </w:r>
      <w:r>
        <w:rPr>
          <w:rFonts w:ascii="Times New Roman" w:hAnsi="Times New Roman"/>
          <w:b w:val="false"/>
          <w:i w:val="false"/>
          <w:color w:val="000000"/>
          <w:sz w:val="22"/>
        </w:rPr>
        <w:t> </w:t>
      </w:r>
      <w:r>
        <w:rPr>
          <w:rFonts w:ascii="Times New Roman" w:hAnsi="Times New Roman"/>
          <w:b w:val="false"/>
          <w:i/>
          <w:color w:val="000000"/>
          <w:sz w:val="22"/>
        </w:rPr>
        <w:t xml:space="preserve">Board approval and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review applications to ensure program eligibility requirements are satisfied. Authority staff may request additional information from the business or may use other resources to obtain the needed information.</w:t>
      </w:r>
    </w:p>
    <w:p>
      <w:pPr>
        <w:spacing w:before="0" w:after="0"/>
        <w:ind w:left="120"/>
        <w:jc w:val="both"/>
      </w:pPr>
      <w:r>
        <w:rPr>
          <w:rFonts w:ascii="Times New Roman" w:hAnsi="Times New Roman"/>
          <w:b w:val="false"/>
          <w:i w:val="false"/>
          <w:color w:val="000000"/>
          <w:sz w:val="22"/>
        </w:rPr>
        <w:t xml:space="preserve">Complete and eligible applications and supporting documentation will be submitted to the board for its consideration. Authority staff will generate and submit to the board a report that summarizes the project and provide a recommendation on the amount of tax incentives to be offered to the business and whether the business should be offered an exemption to restrictions on agricultural land holdings pursuant to Iowa Code section 15.498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10.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may provide the board additional information or documentation as determined by staff. The board may offer an award in a lesser amount or that is structured in a manner different from that requested or recommended by authority staff. Meeting eligibility requirements does not guarantee that an award will be offered or provided in the form sought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due diligence committee of the board established pursuant to </w:t>
      </w:r>
      <w:hyperlink r:id="rId18">
        <w:r>
          <w:rPr>
            <w:rStyle w:val="Hyperlink"/>
            <w:rFonts w:ascii="Times New Roman" w:hAnsi="Times New Roman"/>
            <w:b w:val="false"/>
            <w:i w:val="false"/>
            <w:color w:val="000000"/>
            <w:sz w:val="22"/>
          </w:rPr>
          <w:t>261—subrule 1.3(7)</w:t>
        </w:r>
      </w:hyperlink>
      <w:r>
        <w:rPr>
          <w:rFonts w:ascii="Times New Roman" w:hAnsi="Times New Roman"/>
          <w:b w:val="false"/>
          <w:i w:val="false"/>
          <w:color w:val="000000"/>
          <w:sz w:val="22"/>
        </w:rPr>
        <w:t xml:space="preserve"> will review applications and make recommendations regarding the size, combination of program benefits, and conditions of awards. The board may accept or reject recommendations from the due diligence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approves an award, an applicant will be notified in writing, including any conditions and terms of the approval. If the board approves an application prior to certification of additional acres to qualify the project site pursuant to subrule </w:t>
      </w:r>
      <w:hyperlink r:id="rId19">
        <w:r>
          <w:rPr>
            <w:rStyle w:val="Hyperlink"/>
            <w:rFonts w:ascii="Times New Roman" w:hAnsi="Times New Roman"/>
            <w:b w:val="false"/>
            <w:i w:val="false"/>
            <w:color w:val="000000"/>
            <w:sz w:val="22"/>
          </w:rPr>
          <w:t>67.2(1)</w:t>
        </w:r>
      </w:hyperlink>
      <w:r>
        <w:rPr>
          <w:rFonts w:ascii="Times New Roman" w:hAnsi="Times New Roman"/>
          <w:b w:val="false"/>
          <w:i w:val="false"/>
          <w:color w:val="000000"/>
          <w:sz w:val="22"/>
        </w:rPr>
        <w:t xml:space="preserve">, such approval shall be contingent upon certification of the additional acres.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67.3(8)</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board. </w:t>
      </w:r>
      <w:r>
        <w:rPr>
          <w:rFonts w:ascii="Times New Roman" w:hAnsi="Times New Roman"/>
          <w:b w:val="false"/>
          <w:i w:val="false"/>
          <w:color w:val="000000"/>
          <w:sz w:val="22"/>
        </w:rPr>
        <w:t xml:space="preserve">The authority will reject any application received that would violate the restrictions on the board in Iowa Code section 15.501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261—67.4</w:t>
      </w:r>
      <w:r>
        <w:rPr>
          <w:rFonts w:ascii="Times New Roman" w:hAnsi="Times New Roman"/>
          <w:b/>
          <w:i w:val="false"/>
          <w:color w:val="000000"/>
          <w:sz w:val="22"/>
        </w:rPr>
        <w:t xml:space="preserve">(15) </w:t>
      </w:r>
      <w:r>
        <w:rPr>
          <w:rFonts w:ascii="Times New Roman" w:hAnsi="Times New Roman"/>
          <w:b/>
          <w:i w:val="false"/>
          <w:color w:val="000000"/>
          <w:sz w:val="22"/>
        </w:rPr>
        <w:t xml:space="preserve">Tax incentives. </w:t>
      </w:r>
      <w:r>
        <w:rPr>
          <w:rFonts w:ascii="Times New Roman" w:hAnsi="Times New Roman"/>
          <w:b w:val="false"/>
          <w:i w:val="false"/>
          <w:color w:val="000000"/>
          <w:sz w:val="22"/>
        </w:rPr>
        <w:t xml:space="preserve">The authority may approve a business to receive any combination of applicable tax incentives allowed through the program pursuant to Iowa Code section 15.495, 15.496, or 15.497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An approved business shall not claim a tax incentive in excess of the amount specified in an agreement entered into pursuant to Iowa Code section 15.494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6. No tax incentive may be utilized by an approved business until all conditions of such tax incentive established by the authority or the department of revenue have been satisfied.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color w:val="000000"/>
          <w:sz w:val="22"/>
        </w:rPr>
        <w:t xml:space="preserve">Property tax exemption. </w:t>
      </w:r>
      <w:r>
        <w:rPr>
          <w:rFonts w:ascii="Times New Roman" w:hAnsi="Times New Roman"/>
          <w:b w:val="false"/>
          <w:i w:val="false"/>
          <w:color w:val="000000"/>
          <w:sz w:val="22"/>
        </w:rPr>
        <w:t xml:space="preserve">If a community approves an exemption from taxation pursuant to Iowa Code section 15.500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12, the community shall provide the authority and the local assessor with a copy of the resolution adopted by the community’s governing body that indicates the estimated value and duration of the authorized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approved business shall provide adequate documentation to the authority to document that the conditions for issuance of a tax credit certificate in Iowa Code section 15.496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8, have been satisfied.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color w:val="000000"/>
          <w:sz w:val="22"/>
        </w:rPr>
        <w:t xml:space="preserve">Maximum tax incentives available. </w:t>
      </w:r>
      <w:r>
        <w:rPr>
          <w:rFonts w:ascii="Times New Roman" w:hAnsi="Times New Roman"/>
          <w:b w:val="false"/>
          <w:i w:val="false"/>
          <w:color w:val="000000"/>
          <w:sz w:val="22"/>
        </w:rPr>
        <w:t xml:space="preserve">The maximum amount of tax incentives for a business’s project will be established based on the factors identified in subrule </w:t>
      </w:r>
      <w:hyperlink r:id="rId20">
        <w:r>
          <w:rPr>
            <w:rStyle w:val="Hyperlink"/>
            <w:rFonts w:ascii="Times New Roman" w:hAnsi="Times New Roman"/>
            <w:b w:val="false"/>
            <w:i w:val="false"/>
            <w:color w:val="000000"/>
            <w:sz w:val="22"/>
          </w:rPr>
          <w:t>67.3(6)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261—67.5</w:t>
      </w:r>
      <w:r>
        <w:rPr>
          <w:rFonts w:ascii="Times New Roman" w:hAnsi="Times New Roman"/>
          <w:b/>
          <w:i w:val="false"/>
          <w:color w:val="000000"/>
          <w:sz w:val="22"/>
        </w:rPr>
        <w:t xml:space="preserve">(15) </w:t>
      </w:r>
      <w:r>
        <w:rPr>
          <w:rFonts w:ascii="Times New Roman" w:hAnsi="Times New Roman"/>
          <w:b/>
          <w:i w:val="false"/>
          <w:color w:val="000000"/>
          <w:sz w:val="22"/>
        </w:rPr>
        <w:t xml:space="preserve">Acquisition of agricultural land by foreign businesses. </w:t>
      </w:r>
      <w:r>
        <w:rPr>
          <w:rFonts w:ascii="Times New Roman" w:hAnsi="Times New Roman"/>
          <w:b w:val="false"/>
          <w:i w:val="false"/>
          <w:color w:val="000000"/>
          <w:sz w:val="22"/>
        </w:rPr>
        <w:t>The authority may authorize an exemption to restrictions on agricultural land holdings pursuant to Iowa Code sections 9I.3(3)</w:t>
      </w:r>
      <w:r>
        <w:rPr>
          <w:rFonts w:ascii="Times New Roman" w:hAnsi="Times New Roman"/>
          <w:b w:val="false"/>
          <w:i/>
          <w:color w:val="000000"/>
          <w:sz w:val="22"/>
        </w:rPr>
        <w:t>“f”</w:t>
      </w:r>
      <w:r>
        <w:rPr>
          <w:rFonts w:ascii="Times New Roman" w:hAnsi="Times New Roman"/>
          <w:b w:val="false"/>
          <w:i w:val="false"/>
          <w:color w:val="000000"/>
          <w:sz w:val="22"/>
        </w:rPr>
        <w:t xml:space="preserve"> and 15.498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Whether to approve or deny a request for an exemption is solely within the board’s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considered for an exemption, an applicant shall provide detailed documentation of ownership and affiliated businesses; evidence of compliance with Iowa Code chapter </w:t>
      </w:r>
      <w:hyperlink r:id="rId21">
        <w:r>
          <w:rPr>
            <w:rStyle w:val="Hyperlink"/>
            <w:rFonts w:ascii="Times New Roman" w:hAnsi="Times New Roman"/>
            <w:b w:val="false"/>
            <w:i w:val="false"/>
            <w:color w:val="000000"/>
            <w:sz w:val="22"/>
          </w:rPr>
          <w:t>9I</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2024 Iowa Acts, Senate File 2204</w:t>
      </w:r>
      <w:r>
        <w:rPr>
          <w:rFonts w:ascii="Times New Roman" w:hAnsi="Times New Roman"/>
          <w:b w:val="false"/>
          <w:i w:val="false"/>
          <w:color w:val="000000"/>
          <w:sz w:val="22"/>
        </w:rPr>
        <w:t xml:space="preserve">; and any other information requested by the authority to document the business’s eligibility for the exemption to the authority’s satisfaction. An applicant must demonstrate that the number of acres for which an exemption is requested is necessary for the completion of the business’s project. The number of acres for which an exemption is approved is subject to negotiation.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authorized pursuant to Iowa Code section 15.498(2)</w:t>
      </w:r>
      <w:r>
        <w:rPr>
          <w:rFonts w:ascii="Times New Roman" w:hAnsi="Times New Roman"/>
          <w:b w:val="false"/>
          <w:i/>
          <w:color w:val="000000"/>
          <w:sz w:val="22"/>
        </w:rPr>
        <w:t>“b”</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section 10, must be made in writing and received by the authority at least 60 days prior to expiration of the applicable deadline imposed by Iowa Code section </w:t>
      </w:r>
      <w:hyperlink r:id="rId22">
        <w:r>
          <w:rPr>
            <w:rStyle w:val="Hyperlink"/>
            <w:rFonts w:ascii="Times New Roman" w:hAnsi="Times New Roman"/>
            <w:b w:val="false"/>
            <w:i w:val="false"/>
            <w:color w:val="000000"/>
            <w:sz w:val="22"/>
          </w:rPr>
          <w:t>9I.4</w:t>
        </w:r>
      </w:hyperlink>
      <w:r>
        <w:rPr>
          <w:rFonts w:ascii="Times New Roman" w:hAnsi="Times New Roman"/>
          <w:b w:val="false"/>
          <w:i w:val="false"/>
          <w:color w:val="000000"/>
          <w:sz w:val="22"/>
        </w:rPr>
        <w:t xml:space="preserve"> or as previously extended by the authority. The request shall include steps taken by the recipient to convert the land to a purpose other than farming, the estimated date by which the required conversion is expected to occur, and any other information required by the authority to determine whether an extension is warranted. Whether to approve or deny a request for an extension is solely within the board’s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261—67.6</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Agreements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Successful applicants will be required to execute an agreement with the authority within 180 days of the award date. The time limit for execution may be extended by the authority director for an additional 180 days for good cause shown. Upon expiration of the time limit, including any extensions approved pursuant to this subrule, the board may approve additional extensions or rescind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An agreement shall meet all requirements of and be administered pursuant to Iowa Code section 15.494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67.6(3)</w:t>
      </w:r>
      <w:r>
        <w:rPr>
          <w:rFonts w:ascii="Times New Roman" w:hAnsi="Times New Roman"/>
          <w:b w:val="false"/>
          <w:i w:val="false"/>
          <w:color w:val="000000"/>
          <w:sz w:val="22"/>
        </w:rPr>
        <w:t> </w:t>
      </w:r>
      <w:r>
        <w:rPr>
          <w:rFonts w:ascii="Times New Roman" w:hAnsi="Times New Roman"/>
          <w:b w:val="false"/>
          <w:i/>
          <w:color w:val="000000"/>
          <w:sz w:val="22"/>
        </w:rPr>
        <w:t xml:space="preserve">Jobs. </w:t>
      </w:r>
      <w:r>
        <w:rPr>
          <w:rFonts w:ascii="Times New Roman" w:hAnsi="Times New Roman"/>
          <w:b w:val="false"/>
          <w:i w:val="false"/>
          <w:color w:val="000000"/>
          <w:sz w:val="22"/>
        </w:rPr>
        <w:t xml:space="preserve">An agreement will specify the number of created jobs the business has pledged to create in addition to the base employment level and the number of qualified jobs. Job obligations will be established and monitored pursuant to subrule </w:t>
      </w:r>
      <w:hyperlink r:id="rId23">
        <w:r>
          <w:rPr>
            <w:rStyle w:val="Hyperlink"/>
            <w:rFonts w:ascii="Times New Roman" w:hAnsi="Times New Roman"/>
            <w:b w:val="false"/>
            <w:i w:val="false"/>
            <w:color w:val="000000"/>
            <w:sz w:val="22"/>
          </w:rPr>
          <w:t>67.2(5)</w:t>
        </w:r>
      </w:hyperlink>
      <w:r>
        <w:rPr>
          <w:rFonts w:ascii="Times New Roman" w:hAnsi="Times New Roman"/>
          <w:b w:val="false"/>
          <w:i w:val="false"/>
          <w:color w:val="000000"/>
          <w:sz w:val="22"/>
        </w:rPr>
        <w:t xml:space="preserve"> and rule </w:t>
      </w:r>
      <w:hyperlink r:id="rId24">
        <w:r>
          <w:rPr>
            <w:rStyle w:val="Hyperlink"/>
            <w:rFonts w:ascii="Times New Roman" w:hAnsi="Times New Roman"/>
            <w:b w:val="false"/>
            <w:i w:val="false"/>
            <w:color w:val="000000"/>
            <w:sz w:val="22"/>
          </w:rPr>
          <w:t>261—67.7</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67.6(4)</w:t>
      </w:r>
      <w:r>
        <w:rPr>
          <w:rFonts w:ascii="Times New Roman" w:hAnsi="Times New Roman"/>
          <w:b w:val="false"/>
          <w:i w:val="false"/>
          <w:color w:val="000000"/>
          <w:sz w:val="22"/>
        </w:rPr>
        <w:t> </w:t>
      </w:r>
      <w:r>
        <w:rPr>
          <w:rFonts w:ascii="Times New Roman" w:hAnsi="Times New Roman"/>
          <w:b w:val="false"/>
          <w:i/>
          <w:color w:val="000000"/>
          <w:sz w:val="22"/>
        </w:rPr>
        <w:t xml:space="preserve">Investment. </w:t>
      </w:r>
      <w:r>
        <w:rPr>
          <w:rFonts w:ascii="Times New Roman" w:hAnsi="Times New Roman"/>
          <w:b w:val="false"/>
          <w:i w:val="false"/>
          <w:color w:val="000000"/>
          <w:sz w:val="22"/>
        </w:rPr>
        <w:t>An agreement will describe the project and specify the qualifying investment the business proposes to make.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67.6(5)</w:t>
      </w:r>
      <w:r>
        <w:rPr>
          <w:rFonts w:ascii="Times New Roman" w:hAnsi="Times New Roman"/>
          <w:b w:val="false"/>
          <w:i w:val="false"/>
          <w:color w:val="000000"/>
          <w:sz w:val="22"/>
        </w:rPr>
        <w:t> </w:t>
      </w: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An agreement will specify the project completion date. The project completion date will be the date on which a program recipient has agreed to meet all the terms and obligations contained in an agreement with the authority, including but not limited to completing the project and creating jobs. The project completion period will be at least three years. The project completion date is calculated by the authority from the end of the month during which an award is made. For example, if an award is made on June 13, 2024, the three-year project completion date will be calculated from June 30, 2024. The project completion date for this award would be June 30,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67.6(6)</w:t>
      </w:r>
      <w:r>
        <w:rPr>
          <w:rFonts w:ascii="Times New Roman" w:hAnsi="Times New Roman"/>
          <w:b w:val="false"/>
          <w:i w:val="false"/>
          <w:color w:val="000000"/>
          <w:sz w:val="22"/>
        </w:rPr>
        <w:t> </w:t>
      </w:r>
      <w:r>
        <w:rPr>
          <w:rFonts w:ascii="Times New Roman" w:hAnsi="Times New Roman"/>
          <w:b w:val="false"/>
          <w:i/>
          <w:color w:val="000000"/>
          <w:sz w:val="22"/>
        </w:rPr>
        <w:t xml:space="preserve">Maintenance period completion date. </w:t>
      </w:r>
      <w:r>
        <w:rPr>
          <w:rFonts w:ascii="Times New Roman" w:hAnsi="Times New Roman"/>
          <w:b w:val="false"/>
          <w:i w:val="false"/>
          <w:color w:val="000000"/>
          <w:sz w:val="22"/>
        </w:rPr>
        <w:t>An agreement will specify the maintenance period completion date. The maintenance period completion date will be used to establish the period during which the project and the created jobs must be maintained. The total contract length, including the maintenance period, will be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67.6(7)</w:t>
      </w:r>
      <w:r>
        <w:rPr>
          <w:rFonts w:ascii="Times New Roman" w:hAnsi="Times New Roman"/>
          <w:b w:val="false"/>
          <w:i w:val="false"/>
          <w:color w:val="000000"/>
          <w:sz w:val="22"/>
        </w:rPr>
        <w:t> </w:t>
      </w:r>
      <w:r>
        <w:rPr>
          <w:rFonts w:ascii="Times New Roman" w:hAnsi="Times New Roman"/>
          <w:b w:val="false"/>
          <w:i/>
          <w:color w:val="000000"/>
          <w:sz w:val="22"/>
        </w:rPr>
        <w:t xml:space="preserve">Conditions to issuance of tax credit certificate. </w:t>
      </w:r>
      <w:r>
        <w:rPr>
          <w:rFonts w:ascii="Times New Roman" w:hAnsi="Times New Roman"/>
          <w:b w:val="false"/>
          <w:i w:val="false"/>
          <w:color w:val="000000"/>
          <w:sz w:val="22"/>
        </w:rPr>
        <w:t xml:space="preserve">An agreement will specify the conditions of issuance of a tax credit certificate, including but not limited to compliance with the requirements of Iowa Code section </w:t>
      </w:r>
      <w:hyperlink r:id="rId25">
        <w:r>
          <w:rPr>
            <w:rStyle w:val="Hyperlink"/>
            <w:rFonts w:ascii="Times New Roman" w:hAnsi="Times New Roman"/>
            <w:b w:val="false"/>
            <w:i w:val="false"/>
            <w:color w:val="000000"/>
            <w:sz w:val="22"/>
          </w:rPr>
          <w:t>15A.1(3)</w:t>
        </w:r>
      </w:hyperlink>
      <w:r>
        <w:rPr>
          <w:rFonts w:ascii="Times New Roman" w:hAnsi="Times New Roman"/>
          <w:b w:val="false"/>
          <w:i/>
          <w:color w:val="000000"/>
          <w:sz w:val="22"/>
        </w:rPr>
        <w:t>“b”</w:t>
      </w:r>
      <w:r>
        <w:rPr>
          <w:rFonts w:ascii="Times New Roman" w:hAnsi="Times New Roman"/>
          <w:b w:val="false"/>
          <w:i w:val="false"/>
          <w:color w:val="000000"/>
          <w:sz w:val="22"/>
        </w:rPr>
        <w:t xml:space="preserve"> regarding solid and hazardous waste and verification that the project completion and qualified job threshold specified in Iowa Code section 15.496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8, has been met,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67.6(8)</w:t>
      </w:r>
      <w:r>
        <w:rPr>
          <w:rFonts w:ascii="Times New Roman" w:hAnsi="Times New Roman"/>
          <w:b w:val="false"/>
          <w:i w:val="false"/>
          <w:color w:val="000000"/>
          <w:sz w:val="22"/>
        </w:rPr>
        <w:t> </w:t>
      </w:r>
      <w:r>
        <w:rPr>
          <w:rFonts w:ascii="Times New Roman" w:hAnsi="Times New Roman"/>
          <w:b w:val="false"/>
          <w:i/>
          <w:color w:val="000000"/>
          <w:sz w:val="22"/>
        </w:rPr>
        <w:t xml:space="preserve">Monitoring and reports. </w:t>
      </w:r>
      <w:r>
        <w:rPr>
          <w:rFonts w:ascii="Times New Roman" w:hAnsi="Times New Roman"/>
          <w:b w:val="false"/>
          <w:i w:val="false"/>
          <w:color w:val="000000"/>
          <w:sz w:val="22"/>
        </w:rPr>
        <w:t>The authority shall ensure that program recipients comply with contracts entered into pursuant to this rule. An agreement will specify the reports a program recipient must submit to the authority and due dates for such reports. Reports shall be provided in form and content acceptable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shall report annually to the authority about the status of the funded project, including but not limited to employment, wages, benefits, project costs, qualifying investment, and compliance with the contract. The authority will use the data it collects in the authority’s annual report to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Recipients shall submit a report to the authority following the project completion date and the maintenance period completion date to verify compliance with the agreement. On-site or remote monitoring may be conducted following the project completion date as deemed appropriate by the authority. On-site or remote monitoring may be conducted following the maintenance period completion date as deemed appropriate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67.6(9)</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An agreement will specify events of default and the remedies available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incentives. </w:t>
      </w:r>
      <w:r>
        <w:rPr>
          <w:rFonts w:ascii="Times New Roman" w:hAnsi="Times New Roman"/>
          <w:b w:val="false"/>
          <w:i w:val="false"/>
          <w:color w:val="000000"/>
          <w:sz w:val="22"/>
        </w:rPr>
        <w:t>If the authority determines that a recipient is in default, the authority may seek recovery of all state tax incentives by notifying the department of revenue of the event of default and the required repayment amount. The repayment amount is subject to applicable interest and penalties as determined by the department of revenue. Negotiated settlements are subject to approval by the board. The department of revenue will undertake collection efforts. If the business is an entity that has elected pass-through taxation status for income tax purposes, the department of revenue may undertake collection efforts against members, individuals, or shareholders to whom the tax incentives were passed through. If the agreement provides for local tax incentives, the authority will notify the community that provided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repayment due or reduction of tax incentives.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Job shortfall. If a business does not meet its job requirements, the repayment amount or reduction of tax incentives shall be the same proportion as the amount of the job shortfall. For example, if the business creates 50 percent of the jobs required, the business shall repay 50 percent of the tax incentives received or incentives will be reduced by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Qualifying investment shortfall. If a business does not meet the qualifying investment requirement, the repayment amount or reduction of tax incentives shall be the same proportion as the amount of the shortfall in required qualifying investment. For example, if the business meets 75 percent of the amount of required qualifying investment, the business shall repay 25 percent of the amount of the tax incentives received or incentives will be reduced by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Job and qualifying investment shortfalls. If a business has a shortfall in both qualifying investment and job requirements, the repayment amount or reduction of tax incentives shall be the same proportion as the greater of the two shortfalls. For example, if a business creates 50 percent of the required jobs and meets 75 percent of the required qualifying investment, the business shall repay 50 percent of the amount of the tax incentives received or tax incentives will be reduced by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Benefits. Notwithstanding any other provision in this subrule, if a business fails to comply with the benefit requirements of the agreement, the business shall repay all of the tax incentives received or tax incentives will be fully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Minimum eligibility. Notwithstanding any other provision in this subrule, if a business fails to maintain eligibility for the program, the business shall repay all of the tax incentives received or tax incentives will be fully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default. </w:t>
      </w:r>
      <w:r>
        <w:rPr>
          <w:rFonts w:ascii="Times New Roman" w:hAnsi="Times New Roman"/>
          <w:b w:val="false"/>
          <w:i w:val="false"/>
          <w:color w:val="000000"/>
          <w:sz w:val="22"/>
        </w:rPr>
        <w:t xml:space="preserve">The authority will notify a business and community of an event of default as described in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67.6(10)</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Agreement amendments must comply with Iowa Code sections 15.490 through 15.501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and this chapter. Recipients may submit requests for amendments to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6">
        <w:r>
          <w:rPr>
            <w:rStyle w:val="Hyperlink"/>
            <w:rFonts w:ascii="Times New Roman" w:hAnsi="Times New Roman"/>
            <w:b w:val="false"/>
            <w:i w:val="false"/>
            <w:color w:val="000000"/>
            <w:sz w:val="22"/>
          </w:rPr>
          <w:t>67.6(10)</w:t>
        </w:r>
      </w:hyperlink>
      <w:r>
        <w:rPr>
          <w:rFonts w:ascii="Times New Roman" w:hAnsi="Times New Roman"/>
          <w:b w:val="false"/>
          <w:i/>
          <w:color w:val="000000"/>
          <w:sz w:val="22"/>
        </w:rPr>
        <w:t>“b,”</w:t>
      </w:r>
      <w:r>
        <w:rPr>
          <w:rFonts w:ascii="Times New Roman" w:hAnsi="Times New Roman"/>
          <w:b w:val="false"/>
          <w:i w:val="false"/>
          <w:color w:val="000000"/>
          <w:sz w:val="22"/>
        </w:rPr>
        <w:t xml:space="preserve"> requests for amendments shall not be effective unless approved by the due diligence committee established pursuant to </w:t>
      </w:r>
      <w:hyperlink r:id="rId27">
        <w:r>
          <w:rPr>
            <w:rStyle w:val="Hyperlink"/>
            <w:rFonts w:ascii="Times New Roman" w:hAnsi="Times New Roman"/>
            <w:b w:val="false"/>
            <w:i w:val="false"/>
            <w:color w:val="000000"/>
            <w:sz w:val="22"/>
          </w:rPr>
          <w:t>261—subrule 1.3(7)</w:t>
        </w:r>
      </w:hyperlink>
      <w:r>
        <w:rPr>
          <w:rFonts w:ascii="Times New Roman" w:hAnsi="Times New Roman"/>
          <w:b w:val="false"/>
          <w:i w:val="false"/>
          <w:color w:val="000000"/>
          <w:sz w:val="22"/>
        </w:rPr>
        <w:t xml:space="preserve">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Authority staff may approve nonsubstantive changes,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Recipient name, address and similar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Line item budget changes that do not reduce overall total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to tax credit amortization schedules.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261—67.7</w:t>
      </w:r>
      <w:r>
        <w:rPr>
          <w:rFonts w:ascii="Times New Roman" w:hAnsi="Times New Roman"/>
          <w:b/>
          <w:i w:val="false"/>
          <w:color w:val="000000"/>
          <w:sz w:val="22"/>
        </w:rPr>
        <w:t xml:space="preserve">(15) </w:t>
      </w:r>
      <w:r>
        <w:rPr>
          <w:rFonts w:ascii="Times New Roman" w:hAnsi="Times New Roman"/>
          <w:b/>
          <w:i w:val="false"/>
          <w:color w:val="000000"/>
          <w:sz w:val="22"/>
        </w:rPr>
        <w:t xml:space="preserve">Job counting.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color w:val="000000"/>
          <w:sz w:val="22"/>
        </w:rPr>
        <w:t xml:space="preserve">Overview. </w:t>
      </w:r>
      <w:r>
        <w:rPr>
          <w:rFonts w:ascii="Times New Roman" w:hAnsi="Times New Roman"/>
          <w:b w:val="false"/>
          <w:i w:val="false"/>
          <w:color w:val="000000"/>
          <w:sz w:val="22"/>
        </w:rPr>
        <w:t xml:space="preserve">The authority will count created jobs using a base employment analysis comparing the base employment level to employment at another date. The business’s base employment level will be established at the time of application for the program. The number of qualified jobs the business has pledged to create shall be in addition to the base employment level.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Base employment level will include the number of full-time equivalent positions employed at the project location. If the project occurs at more than one physical location, the business’s base employment level will include the total number of full-time equivalent positions working at the identified locations. Base employment level may include the business’s full-time equivalent positions as identified by the authority that are employed in this state but are not employed at the 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collect payroll documents to calculate and verify the base employment level used in each award. Payroll documents must include a name or employee identification number and the hourly rate of pay for all full-time equivalent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At the project completion date, during the maintenance period, and following the maintenance period completion date, payroll documents will be used to calculate and verify compliance with job obligations. The person who submits the documents must, under penalty of perjury, verify that the information contained in the documents is true and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positions. </w:t>
      </w:r>
      <w:r>
        <w:rPr>
          <w:rFonts w:ascii="Times New Roman" w:hAnsi="Times New Roman"/>
          <w:b w:val="false"/>
          <w:i w:val="false"/>
          <w:color w:val="000000"/>
          <w:sz w:val="22"/>
        </w:rPr>
        <w:t>Only a full-time equivalent position filled by an individual will be considered an employee of the business for the purpose of establishing the base employment level or created jobs. The authority will not consider “job sharing” or any other means of aggregation or combination of hours worked by more than one natural person in counting jobs. The authority will verify that full-time equivalent positions constitute the employment of one person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per week is at least 32 hours per week for 52 weeks per year, including paid holidays, vacations, and other paid leave. </w:t>
      </w:r>
    </w:p>
    <w:p>
      <w:pPr>
        <w:spacing w:before="0" w:after="0"/>
        <w:ind w:left="120"/>
        <w:jc w:val="both"/>
      </w:pPr>
      <w:r>
        <w:rPr>
          <w:rFonts w:ascii="Times New Roman" w:hAnsi="Times New Roman"/>
          <w:b w:val="false"/>
          <w:i w:val="false"/>
          <w:color w:val="000000"/>
          <w:sz w:val="22"/>
        </w:rPr>
        <w:t>If employees at the facility do not typically work 40 hours per week, the business will be required to provide documentation outlining what the business considers a full-time workweek and how the business’s interpretation fits within the norms of its industry standards. Whether to accept this interpretation is within the sole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67.7(5)</w:t>
      </w:r>
      <w:r>
        <w:rPr>
          <w:rFonts w:ascii="Times New Roman" w:hAnsi="Times New Roman"/>
          <w:b w:val="false"/>
          <w:i w:val="false"/>
          <w:color w:val="000000"/>
          <w:sz w:val="22"/>
        </w:rPr>
        <w:t> </w:t>
      </w:r>
      <w:r>
        <w:rPr>
          <w:rFonts w:ascii="Times New Roman" w:hAnsi="Times New Roman"/>
          <w:b w:val="false"/>
          <w:i/>
          <w:color w:val="000000"/>
          <w:sz w:val="22"/>
        </w:rPr>
        <w:t xml:space="preserve">Contract employees. </w:t>
      </w:r>
      <w:r>
        <w:rPr>
          <w:rFonts w:ascii="Times New Roman" w:hAnsi="Times New Roman"/>
          <w:b w:val="false"/>
          <w:i w:val="false"/>
          <w:color w:val="000000"/>
          <w:sz w:val="22"/>
        </w:rPr>
        <w:t>A business’s leased or contract employee may be included in the base employment level or as a created job only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receiving the program benefits has a legally binding contract with a third-party provider to provide the leased or contract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requires the third-party provider to pay the wages and benefits at the levels required and for the time period required by the authority as conditions of the award to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requires the third-party provider to submit payroll records to the authority, in form and content and as frequently as required by the authority, for purposes of verifying that the business’s created job and benefit requirements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third-party provider and the business specifically authorizes the authority, or its authorized representatives, to access the third-party provider’s records related to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receiving the program benefits agrees to be contractually liable to the authority for the performance or nonperformance of the third-party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67.7(6)</w:t>
      </w:r>
      <w:r>
        <w:rPr>
          <w:rFonts w:ascii="Times New Roman" w:hAnsi="Times New Roman"/>
          <w:b w:val="false"/>
          <w:i w:val="false"/>
          <w:color w:val="000000"/>
          <w:sz w:val="22"/>
        </w:rPr>
        <w:t> </w:t>
      </w:r>
      <w:r>
        <w:rPr>
          <w:rFonts w:ascii="Times New Roman" w:hAnsi="Times New Roman"/>
          <w:b w:val="false"/>
          <w:i/>
          <w:color w:val="000000"/>
          <w:sz w:val="22"/>
        </w:rPr>
        <w:t xml:space="preserve">Displaced employees. </w:t>
      </w:r>
      <w:r>
        <w:rPr>
          <w:rFonts w:ascii="Times New Roman" w:hAnsi="Times New Roman"/>
          <w:b w:val="false"/>
          <w:i w:val="false"/>
          <w:color w:val="000000"/>
          <w:sz w:val="22"/>
        </w:rPr>
        <w:t>Pursuant to Iowa Code section 15.492(2)</w:t>
      </w:r>
      <w:r>
        <w:rPr>
          <w:rFonts w:ascii="Times New Roman" w:hAnsi="Times New Roman"/>
          <w:b w:val="false"/>
          <w:i/>
          <w:color w:val="000000"/>
          <w:sz w:val="22"/>
        </w:rPr>
        <w:t>“a”</w:t>
      </w:r>
      <w:r>
        <w:rPr>
          <w:rFonts w:ascii="Times New Roman" w:hAnsi="Times New Roman"/>
          <w:b w:val="false"/>
          <w:i w:val="false"/>
          <w:color w:val="000000"/>
          <w:sz w:val="22"/>
        </w:rPr>
        <w:t xml:space="preserve">(2)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4, the authority shall reduce a business’s job projections by the number of jobs displaced from competing businesses based on a good-faith estimate of such number of such displaced jobs when the authority determines the proposed number of created jobs applicable to a project. The authority shall have sole discretion to determine whether a job is displaced from a competing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261—67.8</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procedure for establishing wage requirements. </w:t>
      </w:r>
      <w:r>
        <w:rPr>
          <w:rFonts w:ascii="Times New Roman" w:hAnsi="Times New Roman"/>
          <w:b w:val="false"/>
          <w:i w:val="false"/>
          <w:color w:val="000000"/>
          <w:sz w:val="22"/>
        </w:rPr>
        <w:t xml:space="preserve">Created jobs shall meet the qualifying wage threshold requirements as established pursuant to this rule and as indicated in an agreement entered into pursuant to Iowa Code section 15.494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6. Jobs that do not meet the qualifying wage threshold requirements will not be counted toward a business’s job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establishing qualifying wage threshold as defined in Iowa Code section 15.491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section 3, “laborshed area” means the geographic area surrounding an employment center from which the employment center draws its commuting workers as defined by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67.8(2)</w:t>
      </w:r>
      <w:r>
        <w:rPr>
          <w:rFonts w:ascii="Times New Roman" w:hAnsi="Times New Roman"/>
          <w:b w:val="false"/>
          <w:i w:val="false"/>
          <w:color w:val="000000"/>
          <w:sz w:val="22"/>
        </w:rPr>
        <w:t> </w:t>
      </w:r>
      <w:r>
        <w:rPr>
          <w:rFonts w:ascii="Times New Roman" w:hAnsi="Times New Roman"/>
          <w:b w:val="false"/>
          <w:i w:val="false"/>
          <w:color w:val="000000"/>
          <w:sz w:val="22"/>
        </w:rPr>
        <w:t>The authority will update the qualifying wage thresholds annually each fiscal year. The thresholds will take effect on September 1 of each fiscal year and remain in effect until August 31 of the following fiscal year. If the authority determines that the laborshed wage of a laborshed area would increase by more than one dollar per hour, the authority will limit the increase to the qualifying wage threshold for that laborshed area for that annual update to one dollar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67.8(3)</w:t>
      </w:r>
      <w:r>
        <w:rPr>
          <w:rFonts w:ascii="Times New Roman" w:hAnsi="Times New Roman"/>
          <w:b w:val="false"/>
          <w:i w:val="false"/>
          <w:color w:val="000000"/>
          <w:sz w:val="22"/>
        </w:rPr>
        <w:t> </w:t>
      </w:r>
      <w:r>
        <w:rPr>
          <w:rFonts w:ascii="Times New Roman" w:hAnsi="Times New Roman"/>
          <w:b w:val="false"/>
          <w:i w:val="false"/>
          <w:color w:val="000000"/>
          <w:sz w:val="22"/>
        </w:rPr>
        <w:t>The authority will calculate the laborshed wage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current covered wage and employment data available from the department of workforce development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wage will be computed as a mean wage figure and represented in terms of an hourly wage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the wages paid by employers for jobs performed within the first two zones of a laborshed area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wages paid by employers in the following categories will be excluded from the calculation: government, retail trade, health care and social assistance, and accommodations and food service. The wages paid by employers in all other categories will be included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extent that a laborshed area includes zip codes from states other than Iowa, the wages paid by employers in those zip codes may be included if the department of workforce development has finalized a data-sharing agreement with the state in question and has received the necessary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Only those wages within two standard deviations from the mean wage will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67.8(4)</w:t>
      </w:r>
      <w:r>
        <w:rPr>
          <w:rFonts w:ascii="Times New Roman" w:hAnsi="Times New Roman"/>
          <w:b w:val="false"/>
          <w:i w:val="false"/>
          <w:color w:val="000000"/>
          <w:sz w:val="22"/>
        </w:rPr>
        <w:t> </w:t>
      </w:r>
      <w:r>
        <w:rPr>
          <w:rFonts w:ascii="Times New Roman" w:hAnsi="Times New Roman"/>
          <w:b w:val="false"/>
          <w:i w:val="false"/>
          <w:color w:val="000000"/>
          <w:sz w:val="22"/>
        </w:rPr>
        <w:t>To determine the wages paid to the employees of an eligible business, the authority will include only monetary compensation, represented in terms of an hourly rate, paid by an employer to an employee for work or services provided, typically on a weekly or biweekly basis. The wage will not include nonregular forms of compensation, such as bonuses, unusual overtime pay, commissions, stock options, pensions, retirement or death benefits, unemployment benefits, life or other insurance, or other fringe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8196C</w:t>
      </w:r>
      <w:r>
        <w:rPr>
          <w:rFonts w:ascii="Times New Roman" w:hAnsi="Times New Roman"/>
          <w:b w:val="false"/>
          <w:i w:val="false"/>
          <w:color w:val="000000"/>
          <w:sz w:val="16"/>
        </w:rPr>
        <w:t>, IAB 8/21/24, effective 7/26/24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15.490 through 15.501 as enacted by </w:t>
      </w:r>
      <w:r>
        <w:rPr>
          <w:rFonts w:ascii="Times New Roman" w:hAnsi="Times New Roman"/>
          <w:b w:val="false"/>
          <w:i w:val="false"/>
          <w:color w:val="000000"/>
          <w:sz w:val="22"/>
        </w:rPr>
        <w:t>2024 Iowa Acts, Senate File 574</w:t>
      </w:r>
      <w:r>
        <w:rPr>
          <w:rFonts w:ascii="Times New Roman" w:hAnsi="Times New Roman"/>
          <w:b w:val="false"/>
          <w:i w:val="false"/>
          <w:color w:val="000000"/>
          <w:sz w:val="22"/>
        </w:rPr>
        <w:t xml:space="preserve">, and Iowa Code section </w:t>
      </w:r>
      <w:hyperlink r:id="rId28">
        <w:r>
          <w:rPr>
            <w:rStyle w:val="Hyperlink"/>
            <w:rFonts w:ascii="Times New Roman" w:hAnsi="Times New Roman"/>
            <w:b w:val="false"/>
            <w:i w:val="false"/>
            <w:color w:val="000000"/>
            <w:sz w:val="22"/>
          </w:rPr>
          <w:t>15A.1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8196C</w:t>
      </w:r>
      <w:r>
        <w:rPr>
          <w:rFonts w:ascii="Times New Roman" w:hAnsi="Times New Roman"/>
          <w:b w:val="false"/>
          <w:i w:val="false"/>
          <w:color w:val="000000"/>
          <w:sz w:val="21"/>
        </w:rPr>
        <w:t xml:space="preserve"> (Notice ARC 8047C, IAB 6/12/24)</w:t>
      </w:r>
      <w:r>
        <w:rPr>
          <w:rFonts w:ascii="Times New Roman" w:hAnsi="Times New Roman"/>
          <w:b w:val="false"/>
          <w:i w:val="false"/>
          <w:color w:val="000000"/>
          <w:sz w:val="21"/>
        </w:rPr>
        <w:t>, IAB 8/21/24, effective 7/26/24]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2.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9I.1.pdf" Type="http://schemas.openxmlformats.org/officeDocument/2006/relationships/hyperlink" Id="rId7"/>
    <Relationship TargetMode="External" Target="https://www.legis.iowa.gov/docs/iac/rule/261.67.2.pdf" Type="http://schemas.openxmlformats.org/officeDocument/2006/relationships/hyperlink" Id="rId8"/>
    <Relationship TargetMode="External" Target="https://www.legis.iowa.gov/docs/ico/chapter/423.1.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ac/rule/261.67.2.pdf" Type="http://schemas.openxmlformats.org/officeDocument/2006/relationships/hyperlink" Id="rId11"/>
    <Relationship TargetMode="External" Target="https://www.legis.iowa.gov/docs/ico/chapter/15.118.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ac/rule/261.67.3.pdf" Type="http://schemas.openxmlformats.org/officeDocument/2006/relationships/hyperlink" Id="rId14"/>
    <Relationship TargetMode="External" Target="https://www.legis.iowa.gov/docs/iac/rule/261.67.3.pdf" Type="http://schemas.openxmlformats.org/officeDocument/2006/relationships/hyperlink" Id="rId15"/>
    <Relationship TargetMode="External" Target="https://www.legis.iowa.gov/docs/iac/rule/261.67.8.pdf" Type="http://schemas.openxmlformats.org/officeDocument/2006/relationships/hyperlink" Id="rId16"/>
    <Relationship TargetMode="External" Target="https://www.legis.iowa.gov/docs/iac/rule/261.67.7.pdf" Type="http://schemas.openxmlformats.org/officeDocument/2006/relationships/hyperlink" Id="rId17"/>
    <Relationship TargetMode="External" Target="https://www.legis.iowa.gov/docs/iac/rule/261.1.3.pdf" Type="http://schemas.openxmlformats.org/officeDocument/2006/relationships/hyperlink" Id="rId18"/>
    <Relationship TargetMode="External" Target="https://www.legis.iowa.gov/docs/iac/rule/261.67.2.pdf" Type="http://schemas.openxmlformats.org/officeDocument/2006/relationships/hyperlink" Id="rId19"/>
    <Relationship TargetMode="External" Target="https://www.legis.iowa.gov/docs/iac/rule/261.67.3.pdf" Type="http://schemas.openxmlformats.org/officeDocument/2006/relationships/hyperlink" Id="rId20"/>
    <Relationship TargetMode="External" Target="https://www.legis.iowa.gov/docs/ico/chapter/9I.pdf" Type="http://schemas.openxmlformats.org/officeDocument/2006/relationships/hyperlink" Id="rId21"/>
    <Relationship TargetMode="External" Target="https://www.legis.iowa.gov/docs/ico/chapter/9I.4.pdf" Type="http://schemas.openxmlformats.org/officeDocument/2006/relationships/hyperlink" Id="rId22"/>
    <Relationship TargetMode="External" Target="https://www.legis.iowa.gov/docs/iac/rule/261.67.2.pdf" Type="http://schemas.openxmlformats.org/officeDocument/2006/relationships/hyperlink" Id="rId23"/>
    <Relationship TargetMode="External" Target="https://www.legis.iowa.gov/docs/iac/rule/261.67.7.pdf" Type="http://schemas.openxmlformats.org/officeDocument/2006/relationships/hyperlink" Id="rId24"/>
    <Relationship TargetMode="External" Target="https://www.legis.iowa.gov/docs/ico/chapter/15A.1.pdf" Type="http://schemas.openxmlformats.org/officeDocument/2006/relationships/hyperlink" Id="rId25"/>
    <Relationship TargetMode="External" Target="https://www.legis.iowa.gov/docs/iac/rule/261.67.6.pdf" Type="http://schemas.openxmlformats.org/officeDocument/2006/relationships/hyperlink" Id="rId26"/>
    <Relationship TargetMode="External" Target="https://www.legis.iowa.gov/docs/iac/rule/261.1.3.pdf" Type="http://schemas.openxmlformats.org/officeDocument/2006/relationships/hyperlink" Id="rId27"/>
    <Relationship TargetMode="External" Target="https://www.legis.iowa.gov/docs/ico/chapter/15A.1.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