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65</w:t>
      </w:r>
    </w:p>
    <w:p>
      <w:pPr>
        <w:spacing w:before="0" w:after="0"/>
        <w:ind w:left="120"/>
        <w:jc w:val="center"/>
      </w:pPr>
      <w:r>
        <w:rPr>
          <w:rFonts w:ascii="Times New Roman" w:hAnsi="Times New Roman"/>
          <w:b w:val="false"/>
          <w:i w:val="false"/>
          <w:color w:val="000000"/>
          <w:sz w:val="21"/>
        </w:rPr>
        <w:t>REDEVELOPMENT TAX CREDITS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4/22/31</w:t>
      </w:r>
    </w:p>
    <w:p>
      <w:pPr>
        <w:spacing w:before="0" w:after="0"/>
        <w:ind w:left="120"/>
        <w:jc w:val="both"/>
      </w:pPr>
      <w:r>
        <w:rPr>
          <w:rFonts w:ascii="Times New Roman" w:hAnsi="Times New Roman"/>
          <w:b/>
          <w:i w:val="false"/>
          <w:color w:val="000000"/>
          <w:sz w:val="22"/>
        </w:rPr>
        <w:t>261—65.1</w:t>
      </w:r>
      <w:r>
        <w:rPr>
          <w:rFonts w:ascii="Times New Roman" w:hAnsi="Times New Roman"/>
          <w:b/>
          <w:i w:val="false"/>
          <w:color w:val="000000"/>
          <w:sz w:val="22"/>
        </w:rPr>
        <w:t xml:space="preserve">(15)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“Acquisition”</w:t>
      </w:r>
      <w:r>
        <w:rPr>
          <w:rFonts w:ascii="Times New Roman" w:hAnsi="Times New Roman"/>
          <w:b w:val="false"/>
          <w:i w:val="false"/>
          <w:color w:val="000000"/>
          <w:sz w:val="22"/>
        </w:rPr>
        <w:t> </w:t>
      </w:r>
      <w:r>
        <w:rPr>
          <w:rFonts w:ascii="Times New Roman" w:hAnsi="Times New Roman"/>
          <w:b w:val="false"/>
          <w:i w:val="false"/>
          <w:color w:val="000000"/>
          <w:sz w:val="22"/>
        </w:rPr>
        <w:t>means the purchase of brownfield or grayfield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“Affiliate”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“affiliated entity”</w:t>
      </w:r>
      <w:r>
        <w:rPr>
          <w:rFonts w:ascii="Times New Roman" w:hAnsi="Times New Roman"/>
          <w:b w:val="false"/>
          <w:i w:val="false"/>
          <w:color w:val="000000"/>
          <w:sz w:val="22"/>
        </w:rPr>
        <w:t> </w:t>
      </w:r>
      <w:r>
        <w:rPr>
          <w:rFonts w:ascii="Times New Roman" w:hAnsi="Times New Roman"/>
          <w:b w:val="false"/>
          <w:i w:val="false"/>
          <w:color w:val="000000"/>
          <w:sz w:val="22"/>
        </w:rPr>
        <w:t>means any entity to which one or more of the following applies: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entity directly, indirectly, or constructively controls another entity.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entity is directly, indirectly, or constructively controlled by another entity.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entity is subject to the control of a common entity. A common entity is one that owns directly or individually more than 10 percent of the voting securities of the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“Authority”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economic development authority created in Iowa Code section </w:t>
      </w:r>
      <w:hyperlink r:id="rId5">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15.102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“Brownfield site”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15.291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“Grayfield site”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15.291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“Previously remediated or redeveloped site”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site at which prior remediation or redevelopment has occurred, including development for which an award of tax credits under this chapter has been made, and identified by the authority pursuant to the criteria in subrule </w:t>
      </w:r>
      <w:hyperlink r:id="rId9">
        <w:r>
          <w:rPr>
            <w:rStyle w:val="Hyperlink"/>
            <w:rFonts w:ascii="Times New Roman" w:hAnsi="Times New Roman"/>
            <w:b w:val="false"/>
            <w:i w:val="false"/>
            <w:color w:val="000000"/>
            <w:sz w:val="22"/>
          </w:rPr>
          <w:t>65.2(2)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“Program”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redevelopment tax credits program administered pursuant to Iowa Code chapter </w:t>
      </w:r>
      <w:hyperlink r:id="rId10">
        <w:r>
          <w:rPr>
            <w:rStyle w:val="Hyperlink"/>
            <w:rFonts w:ascii="Times New Roman" w:hAnsi="Times New Roman"/>
            <w:b w:val="false"/>
            <w:i w:val="false"/>
            <w:color w:val="000000"/>
            <w:sz w:val="22"/>
          </w:rPr>
          <w:t>15</w:t>
        </w:r>
      </w:hyperlink>
      <w:r>
        <w:rPr>
          <w:rFonts w:ascii="Times New Roman" w:hAnsi="Times New Roman"/>
          <w:b w:val="false"/>
          <w:i w:val="false"/>
          <w:color w:val="000000"/>
          <w:sz w:val="22"/>
        </w:rPr>
        <w:t>, subchapter II, part 9,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“Qualifying investment”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1">
        <w:r>
          <w:rPr>
            <w:rStyle w:val="Hyperlink"/>
            <w:rFonts w:ascii="Times New Roman" w:hAnsi="Times New Roman"/>
            <w:b w:val="false"/>
            <w:i w:val="false"/>
            <w:color w:val="000000"/>
            <w:sz w:val="22"/>
          </w:rPr>
          <w:t>15.291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“Qualifying investor”</w:t>
      </w:r>
      <w:r>
        <w:rPr>
          <w:rFonts w:ascii="Times New Roman" w:hAnsi="Times New Roman"/>
          <w:b w:val="false"/>
          <w:i w:val="false"/>
          <w:color w:val="000000"/>
          <w:sz w:val="22"/>
        </w:rPr>
        <w:t> </w:t>
      </w:r>
      <w:r>
        <w:rPr>
          <w:rFonts w:ascii="Times New Roman" w:hAnsi="Times New Roman"/>
          <w:b w:val="false"/>
          <w:i w:val="false"/>
          <w:color w:val="000000"/>
          <w:sz w:val="22"/>
        </w:rPr>
        <w:t>means an applicant who has been approved by the authority to receive a redevelopment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“Qualifying redevelopment project”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2">
        <w:r>
          <w:rPr>
            <w:rStyle w:val="Hyperlink"/>
            <w:rFonts w:ascii="Times New Roman" w:hAnsi="Times New Roman"/>
            <w:b w:val="false"/>
            <w:i w:val="false"/>
            <w:color w:val="000000"/>
            <w:sz w:val="22"/>
          </w:rPr>
          <w:t>15.291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“Redevelopment”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construction or development activities associated with a qualifying redevelopment project that are undertaken either for the purpose of constructing new buildings or improvements at a site where formerly existing buildings have been demolished or for the purpose of rehabilitating, reusing, or repurposing existing buildings or improvements. Redevelopment typically includes projects that result in the elimination of blighting characteristics as defined by Iowa Code section </w:t>
      </w:r>
      <w:hyperlink r:id="rId13">
        <w:r>
          <w:rPr>
            <w:rStyle w:val="Hyperlink"/>
            <w:rFonts w:ascii="Times New Roman" w:hAnsi="Times New Roman"/>
            <w:b w:val="false"/>
            <w:i w:val="false"/>
            <w:color w:val="000000"/>
            <w:sz w:val="22"/>
          </w:rPr>
          <w:t>403.2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“Remediation”</w:t>
      </w:r>
      <w:r>
        <w:rPr>
          <w:rFonts w:ascii="Times New Roman" w:hAnsi="Times New Roman"/>
          <w:b w:val="false"/>
          <w:i w:val="false"/>
          <w:color w:val="000000"/>
          <w:sz w:val="22"/>
        </w:rPr>
        <w:t> </w:t>
      </w:r>
      <w:r>
        <w:rPr>
          <w:rFonts w:ascii="Times New Roman" w:hAnsi="Times New Roman"/>
          <w:b w:val="false"/>
          <w:i w:val="false"/>
          <w:color w:val="000000"/>
          <w:sz w:val="22"/>
        </w:rPr>
        <w:t>includes characterization, risk assessment, removal, and cleanup of environmental contaminants located on and adjacent to a brownfield site in compliance with appropriate Iowa department of natural resources requirements and guidelines.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0132D</w:t>
      </w:r>
      <w:r>
        <w:rPr>
          <w:rFonts w:ascii="Times New Roman" w:hAnsi="Times New Roman"/>
          <w:b w:val="false"/>
          <w:i w:val="false"/>
          <w:color w:val="000000"/>
          <w:sz w:val="16"/>
        </w:rPr>
        <w:t>, IAB 3/18/26, effective 4/22/26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261—65.2</w:t>
      </w:r>
      <w:r>
        <w:rPr>
          <w:rFonts w:ascii="Times New Roman" w:hAnsi="Times New Roman"/>
          <w:b/>
          <w:i w:val="false"/>
          <w:color w:val="000000"/>
          <w:sz w:val="22"/>
        </w:rPr>
        <w:t xml:space="preserve">(15) </w:t>
      </w:r>
      <w:r>
        <w:rPr>
          <w:rFonts w:ascii="Times New Roman" w:hAnsi="Times New Roman"/>
          <w:b/>
          <w:i w:val="false"/>
          <w:color w:val="000000"/>
          <w:sz w:val="22"/>
        </w:rPr>
        <w:t xml:space="preserve">Eligibility. </w:t>
      </w:r>
      <w:r>
        <w:rPr>
          <w:rFonts w:ascii="Times New Roman" w:hAnsi="Times New Roman"/>
          <w:b w:val="false"/>
          <w:i w:val="false"/>
          <w:color w:val="000000"/>
          <w:sz w:val="22"/>
        </w:rPr>
        <w:t xml:space="preserve">To be eligible for the program, an applicant must meet the criteria for eligibility in Iowa Code chapter </w:t>
      </w:r>
      <w:hyperlink r:id="rId14">
        <w:r>
          <w:rPr>
            <w:rStyle w:val="Hyperlink"/>
            <w:rFonts w:ascii="Times New Roman" w:hAnsi="Times New Roman"/>
            <w:b w:val="false"/>
            <w:i w:val="false"/>
            <w:color w:val="000000"/>
            <w:sz w:val="22"/>
          </w:rPr>
          <w:t>15</w:t>
        </w:r>
      </w:hyperlink>
      <w:r>
        <w:rPr>
          <w:rFonts w:ascii="Times New Roman" w:hAnsi="Times New Roman"/>
          <w:b w:val="false"/>
          <w:i w:val="false"/>
          <w:color w:val="000000"/>
          <w:sz w:val="22"/>
        </w:rPr>
        <w:t>, subchapter II, part 17, and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w:t>
      </w:r>
      <w:r>
        <w:rPr>
          <w:rFonts w:ascii="Times New Roman" w:hAnsi="Times New Roman"/>
          <w:b w:val="false"/>
          <w:i w:val="false"/>
          <w:color w:val="000000"/>
          <w:sz w:val="22"/>
        </w:rPr>
        <w:t> </w:t>
      </w:r>
      <w:r>
        <w:rPr>
          <w:rFonts w:ascii="Times New Roman" w:hAnsi="Times New Roman"/>
          <w:b w:val="false"/>
          <w:i/>
          <w:color w:val="000000"/>
          <w:sz w:val="22"/>
        </w:rPr>
        <w:t xml:space="preserve">Site control. </w:t>
      </w:r>
      <w:r>
        <w:rPr>
          <w:rFonts w:ascii="Times New Roman" w:hAnsi="Times New Roman"/>
          <w:b w:val="false"/>
          <w:i w:val="false"/>
          <w:color w:val="000000"/>
          <w:sz w:val="22"/>
        </w:rPr>
        <w:t>The applicant must own the brownfield site or grayfield site or the applicant must have an agreement with the owner of a brownfield site or grayfield site prior to applying for tax credits. The agreement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total cost for remediating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That the owner shall transfer title of the property to the applicant upon completion of the remediation of the property. Title transfer is not required when the applicant is the owner of the property and no title transfer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That upon the subsequent sale of the property by the applicant to a person other than the original owner, the original owner shall receive not more than 75 percent of the estimated total cost of the remediation, acquisition, or redevelopment.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65.2(2)</w:t>
      </w:r>
      <w:r>
        <w:rPr>
          <w:rFonts w:ascii="Times New Roman" w:hAnsi="Times New Roman"/>
          <w:b w:val="false"/>
          <w:i w:val="false"/>
          <w:color w:val="000000"/>
          <w:sz w:val="22"/>
        </w:rPr>
        <w:t> </w:t>
      </w:r>
      <w:r>
        <w:rPr>
          <w:rFonts w:ascii="Times New Roman" w:hAnsi="Times New Roman"/>
          <w:b w:val="false"/>
          <w:i/>
          <w:color w:val="000000"/>
          <w:sz w:val="22"/>
        </w:rPr>
        <w:t xml:space="preserve">Previously remediated or redeveloped sites. </w:t>
      </w:r>
      <w:r>
        <w:rPr>
          <w:rFonts w:ascii="Times New Roman" w:hAnsi="Times New Roman"/>
          <w:b w:val="false"/>
          <w:i w:val="false"/>
          <w:color w:val="000000"/>
          <w:sz w:val="22"/>
        </w:rPr>
        <w:t>The authority will determine whether a project constitutes subsequent redevelopment at the same site as a previously remediated or redeveloped site by considering factors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 redevelopment described in multiple proposed projects is planned for a single parcel.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redevelopment described in multiple proposed projects is planned for adjacent or contiguous parcels or parcels in very close physical proximity.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all involved parcels are owned by the same entity, different entities, or affiliated entities.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a proposed project is the result of the same planning process as another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proposed projects are being developed by the same entity, different entities, or affiliated entities.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Whether the development of one proposed project occurs at or near the same time as another proposed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65.2(3)</w:t>
      </w:r>
      <w:r>
        <w:rPr>
          <w:rFonts w:ascii="Times New Roman" w:hAnsi="Times New Roman"/>
          <w:b w:val="false"/>
          <w:i w:val="false"/>
          <w:color w:val="000000"/>
          <w:sz w:val="22"/>
        </w:rPr>
        <w:t> </w:t>
      </w:r>
      <w:r>
        <w:rPr>
          <w:rFonts w:ascii="Times New Roman" w:hAnsi="Times New Roman"/>
          <w:b w:val="false"/>
          <w:i/>
          <w:color w:val="000000"/>
          <w:sz w:val="22"/>
        </w:rPr>
        <w:t xml:space="preserve">Leaking underground storage tanks. </w:t>
      </w:r>
      <w:r>
        <w:rPr>
          <w:rFonts w:ascii="Times New Roman" w:hAnsi="Times New Roman"/>
          <w:b w:val="false"/>
          <w:i w:val="false"/>
          <w:color w:val="000000"/>
          <w:sz w:val="22"/>
        </w:rPr>
        <w:t xml:space="preserve">A project that includes remediation of contaminants being addressed under Iowa’s leaking underground storage tank (UST) program is not eligible for the program unless other nonpetroleum contaminants or petroleum substances not addressed under </w:t>
      </w:r>
      <w:hyperlink r:id="rId15">
        <w:r>
          <w:rPr>
            <w:rStyle w:val="Hyperlink"/>
            <w:rFonts w:ascii="Times New Roman" w:hAnsi="Times New Roman"/>
            <w:b w:val="false"/>
            <w:i w:val="false"/>
            <w:color w:val="000000"/>
            <w:sz w:val="22"/>
          </w:rPr>
          <w:t>567—Chapter 135</w:t>
        </w:r>
      </w:hyperlink>
      <w:r>
        <w:rPr>
          <w:rFonts w:ascii="Times New Roman" w:hAnsi="Times New Roman"/>
          <w:b w:val="false"/>
          <w:i w:val="false"/>
          <w:color w:val="000000"/>
          <w:sz w:val="22"/>
        </w:rPr>
        <w:t xml:space="preserve"> are present.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65.2(4)</w:t>
      </w:r>
      <w:r>
        <w:rPr>
          <w:rFonts w:ascii="Times New Roman" w:hAnsi="Times New Roman"/>
          <w:b w:val="false"/>
          <w:i w:val="false"/>
          <w:color w:val="000000"/>
          <w:sz w:val="22"/>
        </w:rPr>
        <w:t> </w:t>
      </w:r>
      <w:r>
        <w:rPr>
          <w:rFonts w:ascii="Times New Roman" w:hAnsi="Times New Roman"/>
          <w:b w:val="false"/>
          <w:i/>
          <w:color w:val="000000"/>
          <w:sz w:val="22"/>
        </w:rPr>
        <w:t xml:space="preserve">Violations of law. </w:t>
      </w:r>
      <w:r>
        <w:rPr>
          <w:rFonts w:ascii="Times New Roman" w:hAnsi="Times New Roman"/>
          <w:b w:val="false"/>
          <w:i w:val="false"/>
          <w:color w:val="000000"/>
          <w:sz w:val="22"/>
        </w:rPr>
        <w:t>The authority will determine whether the applicant has a record of violations of law that over a period of time tends to show a consistent pattern or that establishes intentional, criminal, or reckless conduct in violation of such laws. An applicant with such a record of violations of the law shall be ineligible for the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0132D</w:t>
      </w:r>
      <w:r>
        <w:rPr>
          <w:rFonts w:ascii="Times New Roman" w:hAnsi="Times New Roman"/>
          <w:b w:val="false"/>
          <w:i w:val="false"/>
          <w:color w:val="000000"/>
          <w:sz w:val="16"/>
        </w:rPr>
        <w:t>, IAB 3/18/26, effective 4/22/26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261—65.3</w:t>
      </w:r>
      <w:r>
        <w:rPr>
          <w:rFonts w:ascii="Times New Roman" w:hAnsi="Times New Roman"/>
          <w:b/>
          <w:i w:val="false"/>
          <w:color w:val="000000"/>
          <w:sz w:val="22"/>
        </w:rPr>
        <w:t xml:space="preserve">(15) </w:t>
      </w:r>
      <w:r>
        <w:rPr>
          <w:rFonts w:ascii="Times New Roman" w:hAnsi="Times New Roman"/>
          <w:b/>
          <w:i w:val="false"/>
          <w:color w:val="000000"/>
          <w:sz w:val="22"/>
        </w:rPr>
        <w:t xml:space="preserve">Limitations on qualifying investment. </w:t>
      </w:r>
      <w:r>
        <w:rPr>
          <w:rFonts w:ascii="Times New Roman" w:hAnsi="Times New Roman"/>
          <w:b w:val="false"/>
          <w:i w:val="false"/>
          <w:color w:val="000000"/>
          <w:sz w:val="22"/>
        </w:rPr>
        <w:t>For the purposes of identifying qualifying investment for the purposes of the program, the following shall not be included: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portion of the total cost of a project that is financed by federal, state, or local government tax credits, grants, forgivable loans, or other forms of financial assistance that do not require repayment, excluding the tax incentives provided under the program.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Any costs, including acquisition costs, incurred before the project is approved by the board.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Building permits, building inspection fees, furnishings, appliances, accounting services, legal services, loan origination and other financing costs including interest on construction loans, syndication fees, and related costs; developer fees; or the costs associated with selling or renting the property whether incurred before or after completion of the project.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0132D</w:t>
      </w:r>
      <w:r>
        <w:rPr>
          <w:rFonts w:ascii="Times New Roman" w:hAnsi="Times New Roman"/>
          <w:b w:val="false"/>
          <w:i w:val="false"/>
          <w:color w:val="000000"/>
          <w:sz w:val="16"/>
        </w:rPr>
        <w:t>, IAB 3/18/26, effective 4/22/26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261—65.4</w:t>
      </w:r>
      <w:r>
        <w:rPr>
          <w:rFonts w:ascii="Times New Roman" w:hAnsi="Times New Roman"/>
          <w:b/>
          <w:i w:val="false"/>
          <w:color w:val="000000"/>
          <w:sz w:val="22"/>
        </w:rPr>
        <w:t xml:space="preserve">(15) </w:t>
      </w:r>
      <w:r>
        <w:rPr>
          <w:rFonts w:ascii="Times New Roman" w:hAnsi="Times New Roman"/>
          <w:b/>
          <w:i w:val="false"/>
          <w:color w:val="000000"/>
          <w:sz w:val="22"/>
        </w:rPr>
        <w:t xml:space="preserve">Application—registration of projects—agreements.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Applications for redevelopment tax credits will only be accepted during the annual application period established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investor applying for a tax credit shall provide the authority with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total costs of the qualifying redevelopment project, including the costs of land acquisition, cleanup, and redevelopment.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financing sources of the investment that are directly related to the qualifying redevelopment project for which the investor is seeking approval for a tax credit as provided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other information deemed necessary to review and score the application pursuant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65.4(2)</w:t>
      </w:r>
      <w:r>
        <w:rPr>
          <w:rFonts w:ascii="Times New Roman" w:hAnsi="Times New Roman"/>
          <w:b w:val="false"/>
          <w:i w:val="false"/>
          <w:color w:val="000000"/>
          <w:sz w:val="22"/>
        </w:rPr>
        <w:t> </w:t>
      </w:r>
      <w:r>
        <w:rPr>
          <w:rFonts w:ascii="Times New Roman" w:hAnsi="Times New Roman"/>
          <w:b w:val="false"/>
          <w:i/>
          <w:color w:val="000000"/>
          <w:sz w:val="22"/>
        </w:rPr>
        <w:t xml:space="preserve">Scoring. </w:t>
      </w:r>
      <w:r>
        <w:rPr>
          <w:rFonts w:ascii="Times New Roman" w:hAnsi="Times New Roman"/>
          <w:b w:val="false"/>
          <w:i w:val="false"/>
          <w:color w:val="000000"/>
          <w:sz w:val="22"/>
        </w:rPr>
        <w:t xml:space="preserve">Each complete and eligible application will be reviewed and scored by the authority pursuant to Iowa Code section </w:t>
      </w:r>
      <w:hyperlink r:id="rId16">
        <w:r>
          <w:rPr>
            <w:rStyle w:val="Hyperlink"/>
            <w:rFonts w:ascii="Times New Roman" w:hAnsi="Times New Roman"/>
            <w:b w:val="false"/>
            <w:i w:val="false"/>
            <w:color w:val="000000"/>
            <w:sz w:val="22"/>
          </w:rPr>
          <w:t>15.293B(1)</w:t>
        </w:r>
      </w:hyperlink>
      <w:r>
        <w:rPr>
          <w:rFonts w:ascii="Times New Roman" w:hAnsi="Times New Roman"/>
          <w:b w:val="false"/>
          <w:i/>
          <w:color w:val="000000"/>
          <w:sz w:val="22"/>
        </w:rPr>
        <w:t>“f.”</w:t>
      </w:r>
      <w:r>
        <w:rPr>
          <w:rFonts w:ascii="Times New Roman" w:hAnsi="Times New Roman"/>
          <w:b w:val="false"/>
          <w:i w:val="false"/>
          <w:color w:val="000000"/>
          <w:sz w:val="22"/>
        </w:rPr>
        <w:t xml:space="preserve"> Review criteria may include but are not limited to project need, project readiness, financial capacity, and project impact.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65.4(3)</w:t>
      </w:r>
      <w:r>
        <w:rPr>
          <w:rFonts w:ascii="Times New Roman" w:hAnsi="Times New Roman"/>
          <w:b w:val="false"/>
          <w:i w:val="false"/>
          <w:color w:val="000000"/>
          <w:sz w:val="22"/>
        </w:rPr>
        <w:t> </w:t>
      </w:r>
      <w:r>
        <w:rPr>
          <w:rFonts w:ascii="Times New Roman" w:hAnsi="Times New Roman"/>
          <w:b w:val="false"/>
          <w:i/>
          <w:color w:val="000000"/>
          <w:sz w:val="22"/>
        </w:rPr>
        <w:t xml:space="preserve">Registration. </w:t>
      </w:r>
      <w:r>
        <w:rPr>
          <w:rFonts w:ascii="Times New Roman" w:hAnsi="Times New Roman"/>
          <w:b w:val="false"/>
          <w:i w:val="false"/>
          <w:color w:val="000000"/>
          <w:sz w:val="22"/>
        </w:rPr>
        <w:t xml:space="preserve">The authority will make tax credit award recommendations and register projects pursuant to Iowa Code section </w:t>
      </w:r>
      <w:hyperlink r:id="rId17">
        <w:r>
          <w:rPr>
            <w:rStyle w:val="Hyperlink"/>
            <w:rFonts w:ascii="Times New Roman" w:hAnsi="Times New Roman"/>
            <w:b w:val="false"/>
            <w:i w:val="false"/>
            <w:color w:val="000000"/>
            <w:sz w:val="22"/>
          </w:rPr>
          <w:t>15.293B(1)</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65.4(4)</w:t>
      </w:r>
      <w:r>
        <w:rPr>
          <w:rFonts w:ascii="Times New Roman" w:hAnsi="Times New Roman"/>
          <w:b w:val="false"/>
          <w:i w:val="false"/>
          <w:color w:val="000000"/>
          <w:sz w:val="22"/>
        </w:rPr>
        <w:t> </w:t>
      </w:r>
      <w:r>
        <w:rPr>
          <w:rFonts w:ascii="Times New Roman" w:hAnsi="Times New Roman"/>
          <w:b w:val="false"/>
          <w:i/>
          <w:color w:val="000000"/>
          <w:sz w:val="22"/>
        </w:rPr>
        <w:t xml:space="preserve">Approval. </w:t>
      </w:r>
      <w:r>
        <w:rPr>
          <w:rFonts w:ascii="Times New Roman" w:hAnsi="Times New Roman"/>
          <w:b w:val="false"/>
          <w:i w:val="false"/>
          <w:color w:val="000000"/>
          <w:sz w:val="22"/>
        </w:rPr>
        <w:t xml:space="preserve">Tax credit awards and amounts of tax credit awards are subject to approval by the board pursuant to Iowa Code section </w:t>
      </w:r>
      <w:hyperlink r:id="rId18">
        <w:r>
          <w:rPr>
            <w:rStyle w:val="Hyperlink"/>
            <w:rFonts w:ascii="Times New Roman" w:hAnsi="Times New Roman"/>
            <w:b w:val="false"/>
            <w:i w:val="false"/>
            <w:color w:val="000000"/>
            <w:sz w:val="22"/>
          </w:rPr>
          <w:t>15.293B(1)</w:t>
        </w:r>
      </w:hyperlink>
      <w:r>
        <w:rPr>
          <w:rFonts w:ascii="Times New Roman" w:hAnsi="Times New Roman"/>
          <w:b w:val="false"/>
          <w:i/>
          <w:color w:val="000000"/>
          <w:sz w:val="22"/>
        </w:rPr>
        <w:t>“e.”</w:t>
      </w:r>
      <w:r>
        <w:rPr>
          <w:rFonts w:ascii="Times New Roman" w:hAnsi="Times New Roman"/>
          <w:b w:val="false"/>
          <w:i w:val="false"/>
          <w:color w:val="000000"/>
          <w:sz w:val="22"/>
        </w:rPr>
        <w:t xml:space="preserve"> Awards may be conditioned upon commitment of other sources of funds necessary to complete the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65.4(5)</w:t>
      </w:r>
      <w:r>
        <w:rPr>
          <w:rFonts w:ascii="Times New Roman" w:hAnsi="Times New Roman"/>
          <w:b w:val="false"/>
          <w:i w:val="false"/>
          <w:color w:val="000000"/>
          <w:sz w:val="22"/>
        </w:rPr>
        <w:t> </w:t>
      </w:r>
      <w:r>
        <w:rPr>
          <w:rFonts w:ascii="Times New Roman" w:hAnsi="Times New Roman"/>
          <w:b w:val="false"/>
          <w:i/>
          <w:color w:val="000000"/>
          <w:sz w:val="22"/>
        </w:rPr>
        <w:t xml:space="preserve">Agreement.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agreement entered pursuant to Iowa Code section </w:t>
      </w:r>
      <w:hyperlink r:id="rId19">
        <w:r>
          <w:rPr>
            <w:rStyle w:val="Hyperlink"/>
            <w:rFonts w:ascii="Times New Roman" w:hAnsi="Times New Roman"/>
            <w:b w:val="false"/>
            <w:i w:val="false"/>
            <w:color w:val="000000"/>
            <w:sz w:val="22"/>
          </w:rPr>
          <w:t>15.293B(3)</w:t>
        </w:r>
      </w:hyperlink>
      <w:r>
        <w:rPr>
          <w:rFonts w:ascii="Times New Roman" w:hAnsi="Times New Roman"/>
          <w:b w:val="false"/>
          <w:i w:val="false"/>
          <w:color w:val="000000"/>
          <w:sz w:val="22"/>
        </w:rPr>
        <w:t xml:space="preserve"> will identify the tax credit amount, the award date, the project completion deadline, the qualifying investment and the total costs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qualifying investor must execute and return the agreement to the authority within 90 days of transmittal of the final agreement from the authority. Failure to do so may be cause for the board to terminate the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Agreement amendments must comply with Iowa Code chapter </w:t>
      </w:r>
      <w:hyperlink r:id="rId20">
        <w:r>
          <w:rPr>
            <w:rStyle w:val="Hyperlink"/>
            <w:rFonts w:ascii="Times New Roman" w:hAnsi="Times New Roman"/>
            <w:b w:val="false"/>
            <w:i w:val="false"/>
            <w:color w:val="000000"/>
            <w:sz w:val="22"/>
          </w:rPr>
          <w:t>15</w:t>
        </w:r>
      </w:hyperlink>
      <w:r>
        <w:rPr>
          <w:rFonts w:ascii="Times New Roman" w:hAnsi="Times New Roman"/>
          <w:b w:val="false"/>
          <w:i w:val="false"/>
          <w:color w:val="000000"/>
          <w:sz w:val="22"/>
        </w:rPr>
        <w:t>, subchapter II, part 9, and this chapter. Qualifying investors may submit requests for amendments to authority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paragraph </w:t>
      </w:r>
      <w:hyperlink r:id="rId21">
        <w:r>
          <w:rPr>
            <w:rStyle w:val="Hyperlink"/>
            <w:rFonts w:ascii="Times New Roman" w:hAnsi="Times New Roman"/>
            <w:b w:val="false"/>
            <w:i w:val="false"/>
            <w:color w:val="000000"/>
            <w:sz w:val="22"/>
          </w:rPr>
          <w:t>65.4(4)</w:t>
        </w:r>
      </w:hyperlink>
      <w:r>
        <w:rPr>
          <w:rFonts w:ascii="Times New Roman" w:hAnsi="Times New Roman"/>
          <w:b w:val="false"/>
          <w:i/>
          <w:color w:val="000000"/>
          <w:sz w:val="22"/>
        </w:rPr>
        <w:t>“b,”</w:t>
      </w:r>
      <w:r>
        <w:rPr>
          <w:rFonts w:ascii="Times New Roman" w:hAnsi="Times New Roman"/>
          <w:b w:val="false"/>
          <w:i w:val="false"/>
          <w:color w:val="000000"/>
          <w:sz w:val="22"/>
        </w:rPr>
        <w:t xml:space="preserve"> requests to amend an agreement must be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board may designate authority staff with authority to approve nonsubstantive changes,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Recipient name, address, and similar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Line-item budget changes that do not reduce overall total project costs or qualifying investment.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Extension of a project completion deadline of up to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Noncompliance with the agreement may result in revocation of all or a portion of the tax credit award pursuant to Iowa Code section </w:t>
      </w:r>
      <w:hyperlink r:id="rId22">
        <w:r>
          <w:rPr>
            <w:rStyle w:val="Hyperlink"/>
            <w:rFonts w:ascii="Times New Roman" w:hAnsi="Times New Roman"/>
            <w:b w:val="false"/>
            <w:i w:val="false"/>
            <w:color w:val="000000"/>
            <w:sz w:val="22"/>
          </w:rPr>
          <w:t>15.293B(3)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65.4(6)</w:t>
      </w:r>
      <w:r>
        <w:rPr>
          <w:rFonts w:ascii="Times New Roman" w:hAnsi="Times New Roman"/>
          <w:b w:val="false"/>
          <w:i w:val="false"/>
          <w:color w:val="000000"/>
          <w:sz w:val="22"/>
        </w:rPr>
        <w:t> </w:t>
      </w:r>
      <w:r>
        <w:rPr>
          <w:rFonts w:ascii="Times New Roman" w:hAnsi="Times New Roman"/>
          <w:b w:val="false"/>
          <w:i/>
          <w:color w:val="000000"/>
          <w:sz w:val="22"/>
        </w:rPr>
        <w:t xml:space="preserve">Reports. </w:t>
      </w:r>
      <w:r>
        <w:rPr>
          <w:rFonts w:ascii="Times New Roman" w:hAnsi="Times New Roman"/>
          <w:b w:val="false"/>
          <w:i w:val="false"/>
          <w:color w:val="000000"/>
          <w:sz w:val="22"/>
        </w:rPr>
        <w:t>Qualifying investors shall submit any information reasonably requested by the authority in sufficient detail to permit the authority to prepare any reports required by the authority, the board, the general assembly, or the governor’s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65.4(7)</w:t>
      </w:r>
      <w:r>
        <w:rPr>
          <w:rFonts w:ascii="Times New Roman" w:hAnsi="Times New Roman"/>
          <w:b w:val="false"/>
          <w:i w:val="false"/>
          <w:color w:val="000000"/>
          <w:sz w:val="22"/>
        </w:rPr>
        <w:t> </w:t>
      </w:r>
      <w:r>
        <w:rPr>
          <w:rFonts w:ascii="Times New Roman" w:hAnsi="Times New Roman"/>
          <w:b w:val="false"/>
          <w:i/>
          <w:color w:val="000000"/>
          <w:sz w:val="22"/>
        </w:rPr>
        <w:t xml:space="preserve">Project completion. </w:t>
      </w:r>
      <w:r>
        <w:rPr>
          <w:rFonts w:ascii="Times New Roman" w:hAnsi="Times New Roman"/>
          <w:b w:val="false"/>
          <w:i w:val="false"/>
          <w:color w:val="000000"/>
          <w:sz w:val="22"/>
        </w:rPr>
        <w:t xml:space="preserve">The project completion deadline may be extended pursuant to Iowa Code section </w:t>
      </w:r>
      <w:hyperlink r:id="rId23">
        <w:r>
          <w:rPr>
            <w:rStyle w:val="Hyperlink"/>
            <w:rFonts w:ascii="Times New Roman" w:hAnsi="Times New Roman"/>
            <w:b w:val="false"/>
            <w:i w:val="false"/>
            <w:color w:val="000000"/>
            <w:sz w:val="22"/>
          </w:rPr>
          <w:t>15.293B(4)</w:t>
        </w:r>
      </w:hyperlink>
      <w:r>
        <w:rPr>
          <w:rFonts w:ascii="Times New Roman" w:hAnsi="Times New Roman"/>
          <w:b w:val="false"/>
          <w:i w:val="false"/>
          <w:color w:val="000000"/>
          <w:sz w:val="22"/>
        </w:rPr>
        <w:t>. The authority may for good cause within the discretion of the authority extend a qualifying investor’s completion deadline by up to 12 months upon application by the qualifying investor, which application shall be made prior to the expiration of the completion deadline in the manner and form prescribed by the authority. The authority may approve a second extension of up to 12 months if, prior to the expiration of the first 12-month extension, the qualifying investor applies and substantiates to the satisfaction of the authority that the second extension is warranted due to extenuating circumstances outside the control of qualifying investor.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65.4(8)</w:t>
      </w:r>
      <w:r>
        <w:rPr>
          <w:rFonts w:ascii="Times New Roman" w:hAnsi="Times New Roman"/>
          <w:b w:val="false"/>
          <w:i w:val="false"/>
          <w:color w:val="000000"/>
          <w:sz w:val="22"/>
        </w:rPr>
        <w:t> </w:t>
      </w:r>
      <w:r>
        <w:rPr>
          <w:rFonts w:ascii="Times New Roman" w:hAnsi="Times New Roman"/>
          <w:b w:val="false"/>
          <w:i/>
          <w:color w:val="000000"/>
          <w:sz w:val="22"/>
        </w:rPr>
        <w:t xml:space="preserve">Certified public accountant (CPA) examination. </w:t>
      </w:r>
      <w:r>
        <w:rPr>
          <w:rFonts w:ascii="Times New Roman" w:hAnsi="Times New Roman"/>
          <w:b w:val="false"/>
          <w:i w:val="false"/>
          <w:color w:val="000000"/>
          <w:sz w:val="22"/>
        </w:rPr>
        <w:t xml:space="preserve">The attestation applicable to the examination required pursuant to Iowa Code section </w:t>
      </w:r>
      <w:hyperlink r:id="rId24">
        <w:r>
          <w:rPr>
            <w:rStyle w:val="Hyperlink"/>
            <w:rFonts w:ascii="Times New Roman" w:hAnsi="Times New Roman"/>
            <w:b w:val="false"/>
            <w:i w:val="false"/>
            <w:color w:val="000000"/>
            <w:sz w:val="22"/>
          </w:rPr>
          <w:t>15.293B(5)</w:t>
        </w:r>
      </w:hyperlink>
      <w:r>
        <w:rPr>
          <w:rFonts w:ascii="Times New Roman" w:hAnsi="Times New Roman"/>
          <w:b w:val="false"/>
          <w:i w:val="false"/>
          <w:color w:val="000000"/>
          <w:sz w:val="22"/>
        </w:rPr>
        <w:t xml:space="preserve"> is SSAE No. 10 (as amended by SSAE Nos. 11, 12, 14), AT section 101 and AT section 601 or other comparable attestations identified by the authority. The procedures used by the CPA to conduct the examination should allow the CPA to conclude that, in the CPA’s professional judgment, the expenditures claimed are eligible pursuant to the agreement; Iowa Code chapter </w:t>
      </w:r>
      <w:hyperlink r:id="rId25">
        <w:r>
          <w:rPr>
            <w:rStyle w:val="Hyperlink"/>
            <w:rFonts w:ascii="Times New Roman" w:hAnsi="Times New Roman"/>
            <w:b w:val="false"/>
            <w:i w:val="false"/>
            <w:color w:val="000000"/>
            <w:sz w:val="22"/>
          </w:rPr>
          <w:t>15</w:t>
        </w:r>
      </w:hyperlink>
      <w:r>
        <w:rPr>
          <w:rFonts w:ascii="Times New Roman" w:hAnsi="Times New Roman"/>
          <w:b w:val="false"/>
          <w:i w:val="false"/>
          <w:color w:val="000000"/>
          <w:sz w:val="22"/>
        </w:rPr>
        <w:t xml:space="preserve">, subchapter II, part 9; and all rules adopted pursuant to Iowa Code chapter </w:t>
      </w:r>
      <w:hyperlink r:id="rId26">
        <w:r>
          <w:rPr>
            <w:rStyle w:val="Hyperlink"/>
            <w:rFonts w:ascii="Times New Roman" w:hAnsi="Times New Roman"/>
            <w:b w:val="false"/>
            <w:i w:val="false"/>
            <w:color w:val="000000"/>
            <w:sz w:val="22"/>
          </w:rPr>
          <w:t>15</w:t>
        </w:r>
      </w:hyperlink>
      <w:r>
        <w:rPr>
          <w:rFonts w:ascii="Times New Roman" w:hAnsi="Times New Roman"/>
          <w:b w:val="false"/>
          <w:i w:val="false"/>
          <w:color w:val="000000"/>
          <w:sz w:val="22"/>
        </w:rPr>
        <w:t>, subchapter II, part 9, in all material respects. Within ten business days of a request by the authority, the qualifying investor shall make available to the authority the documents reviewed by the CPA unless good cause is shown.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0132D</w:t>
      </w:r>
      <w:r>
        <w:rPr>
          <w:rFonts w:ascii="Times New Roman" w:hAnsi="Times New Roman"/>
          <w:b w:val="false"/>
          <w:i w:val="false"/>
          <w:color w:val="000000"/>
          <w:sz w:val="16"/>
        </w:rPr>
        <w:t>, IAB 3/18/26, effective 4/22/26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261—65.5</w:t>
      </w:r>
      <w:r>
        <w:rPr>
          <w:rFonts w:ascii="Times New Roman" w:hAnsi="Times New Roman"/>
          <w:b/>
          <w:i w:val="false"/>
          <w:color w:val="000000"/>
          <w:sz w:val="22"/>
        </w:rPr>
        <w:t xml:space="preserve">(15) </w:t>
      </w:r>
      <w:r>
        <w:rPr>
          <w:rFonts w:ascii="Times New Roman" w:hAnsi="Times New Roman"/>
          <w:b/>
          <w:i w:val="false"/>
          <w:color w:val="000000"/>
          <w:sz w:val="22"/>
        </w:rPr>
        <w:t xml:space="preserve">Redevelopment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w:t>
      </w:r>
      <w:r>
        <w:rPr>
          <w:rFonts w:ascii="Times New Roman" w:hAnsi="Times New Roman"/>
          <w:b w:val="false"/>
          <w:i w:val="false"/>
          <w:color w:val="000000"/>
          <w:sz w:val="22"/>
        </w:rPr>
        <w:t> </w:t>
      </w:r>
      <w:r>
        <w:rPr>
          <w:rFonts w:ascii="Times New Roman" w:hAnsi="Times New Roman"/>
          <w:b w:val="false"/>
          <w:i/>
          <w:color w:val="000000"/>
          <w:sz w:val="22"/>
        </w:rPr>
        <w:t xml:space="preserve">Tax credit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Issuance. </w:t>
      </w:r>
      <w:r>
        <w:rPr>
          <w:rFonts w:ascii="Times New Roman" w:hAnsi="Times New Roman"/>
          <w:b w:val="false"/>
          <w:i w:val="false"/>
          <w:color w:val="000000"/>
          <w:sz w:val="22"/>
        </w:rPr>
        <w:t xml:space="preserve">The authority may issue a redevelopment tax credit certificate upon completion of the project and submittal of proof of completion by the qualifying investor, including the CPA attestation required pursuant to Iowa Code section </w:t>
      </w:r>
      <w:hyperlink r:id="rId27">
        <w:r>
          <w:rPr>
            <w:rStyle w:val="Hyperlink"/>
            <w:rFonts w:ascii="Times New Roman" w:hAnsi="Times New Roman"/>
            <w:b w:val="false"/>
            <w:i w:val="false"/>
            <w:color w:val="000000"/>
            <w:sz w:val="22"/>
          </w:rPr>
          <w:t>15.293B(5)</w:t>
        </w:r>
      </w:hyperlink>
      <w:r>
        <w:rPr>
          <w:rFonts w:ascii="Times New Roman" w:hAnsi="Times New Roman"/>
          <w:b w:val="false"/>
          <w:i w:val="false"/>
          <w:color w:val="000000"/>
          <w:sz w:val="22"/>
        </w:rPr>
        <w:t xml:space="preserve"> and as described in subrule </w:t>
      </w:r>
      <w:hyperlink r:id="rId28">
        <w:r>
          <w:rPr>
            <w:rStyle w:val="Hyperlink"/>
            <w:rFonts w:ascii="Times New Roman" w:hAnsi="Times New Roman"/>
            <w:b w:val="false"/>
            <w:i w:val="false"/>
            <w:color w:val="000000"/>
            <w:sz w:val="22"/>
          </w:rPr>
          <w:t>65.4(8)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Claims. </w:t>
      </w:r>
      <w:r>
        <w:rPr>
          <w:rFonts w:ascii="Times New Roman" w:hAnsi="Times New Roman"/>
          <w:b w:val="false"/>
          <w:i w:val="false"/>
          <w:color w:val="000000"/>
          <w:sz w:val="22"/>
        </w:rPr>
        <w:t>To claim a tax credit under this rule, a qualifying investor shall file a claim with the department of revenue pursuant to the applicable rules adopted by the department of revenue. A tax credit certificate shall not be used or included with a return filed for a taxable year beginning prior to the tax year listed on the certificate. The tax credit certificate(s) included with the qualifying investor’s tax return shall be issued in the qualifying investor’s name, expire on or after the last day of the taxable year for which the qualifying investor is claiming the tax credit, and show a tax credit amount equal to or greater than the tax credit claimed on the qualifying investor’s tax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Transfer. </w:t>
      </w:r>
      <w:r>
        <w:rPr>
          <w:rFonts w:ascii="Times New Roman" w:hAnsi="Times New Roman"/>
          <w:b w:val="false"/>
          <w:i w:val="false"/>
          <w:color w:val="000000"/>
          <w:sz w:val="22"/>
        </w:rPr>
        <w:t xml:space="preserve">Tax credit certificates issued under this rule may be transferred to any person or entity to the extent allowed by Iowa Code section </w:t>
      </w:r>
      <w:hyperlink r:id="rId29">
        <w:r>
          <w:rPr>
            <w:rStyle w:val="Hyperlink"/>
            <w:rFonts w:ascii="Times New Roman" w:hAnsi="Times New Roman"/>
            <w:b w:val="false"/>
            <w:i w:val="false"/>
            <w:color w:val="000000"/>
            <w:sz w:val="22"/>
          </w:rPr>
          <w:t>15.293A(2)</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any applicable rules adopted by the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65.5(2)</w:t>
      </w:r>
      <w:r>
        <w:rPr>
          <w:rFonts w:ascii="Times New Roman" w:hAnsi="Times New Roman"/>
          <w:b w:val="false"/>
          <w:i w:val="false"/>
          <w:color w:val="000000"/>
          <w:sz w:val="22"/>
        </w:rPr>
        <w:t> </w:t>
      </w:r>
      <w:r>
        <w:rPr>
          <w:rFonts w:ascii="Times New Roman" w:hAnsi="Times New Roman"/>
          <w:b w:val="false"/>
          <w:i/>
          <w:color w:val="000000"/>
          <w:sz w:val="22"/>
        </w:rPr>
        <w:t xml:space="preserve">Tax credit amount and limitations.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amount of the tax credit shall equal the applicable percentage of the qualifying investor’s qualifying investment specified in Iowa Code section </w:t>
      </w:r>
      <w:hyperlink r:id="rId30">
        <w:r>
          <w:rPr>
            <w:rStyle w:val="Hyperlink"/>
            <w:rFonts w:ascii="Times New Roman" w:hAnsi="Times New Roman"/>
            <w:b w:val="false"/>
            <w:i w:val="false"/>
            <w:color w:val="000000"/>
            <w:sz w:val="22"/>
          </w:rPr>
          <w:t>15.293A(3)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maximum amount of tax credits the board may award in any one fiscal year is specified in Iowa Code section </w:t>
      </w:r>
      <w:hyperlink r:id="rId31">
        <w:r>
          <w:rPr>
            <w:rStyle w:val="Hyperlink"/>
            <w:rFonts w:ascii="Times New Roman" w:hAnsi="Times New Roman"/>
            <w:b w:val="false"/>
            <w:i w:val="false"/>
            <w:color w:val="000000"/>
            <w:sz w:val="22"/>
          </w:rPr>
          <w:t>15.293A(6)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65.5(3)</w:t>
      </w:r>
      <w:r>
        <w:rPr>
          <w:rFonts w:ascii="Times New Roman" w:hAnsi="Times New Roman"/>
          <w:b w:val="false"/>
          <w:i w:val="false"/>
          <w:color w:val="000000"/>
          <w:sz w:val="22"/>
        </w:rPr>
        <w:t> </w:t>
      </w:r>
      <w:r>
        <w:rPr>
          <w:rFonts w:ascii="Times New Roman" w:hAnsi="Times New Roman"/>
          <w:b w:val="false"/>
          <w:i/>
          <w:color w:val="000000"/>
          <w:sz w:val="22"/>
        </w:rPr>
        <w:t xml:space="preserve">Tax credit carryover. </w:t>
      </w:r>
      <w:r>
        <w:rPr>
          <w:rFonts w:ascii="Times New Roman" w:hAnsi="Times New Roman"/>
          <w:b w:val="false"/>
          <w:i w:val="false"/>
          <w:color w:val="000000"/>
          <w:sz w:val="22"/>
        </w:rPr>
        <w:t>If the maximum amount of tax credits available has not been issued at the end of the fiscal year, the remaining tax credit amount may be carried over to a subsequent fiscal year or the authority may prorate the remaining credit amount among other eligible applicants.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0132D</w:t>
      </w:r>
      <w:r>
        <w:rPr>
          <w:rFonts w:ascii="Times New Roman" w:hAnsi="Times New Roman"/>
          <w:b w:val="false"/>
          <w:i w:val="false"/>
          <w:color w:val="000000"/>
          <w:sz w:val="16"/>
        </w:rPr>
        <w:t>, IAB 3/18/26, effective 4/22/26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32">
        <w:r>
          <w:rPr>
            <w:rStyle w:val="Hyperlink"/>
            <w:rFonts w:ascii="Times New Roman" w:hAnsi="Times New Roman"/>
            <w:b w:val="false"/>
            <w:i w:val="false"/>
            <w:color w:val="000000"/>
            <w:sz w:val="22"/>
          </w:rPr>
          <w:t>15</w:t>
        </w:r>
      </w:hyperlink>
      <w:r>
        <w:rPr>
          <w:rFonts w:ascii="Times New Roman" w:hAnsi="Times New Roman"/>
          <w:b w:val="false"/>
          <w:i w:val="false"/>
          <w:color w:val="000000"/>
          <w:sz w:val="22"/>
        </w:rPr>
        <w:t>, subchapter II, part 9.</w:t>
      </w:r>
    </w:p>
    <w:p>
      <w:pPr>
        <w:spacing w:before="0" w:after="0"/>
        <w:ind w:left="120"/>
        <w:jc w:val="center"/>
      </w:pPr>
      <w:r>
        <w:rPr>
          <w:rFonts w:ascii="Times New Roman" w:hAnsi="Times New Roman"/>
          <w:b w:val="false"/>
          <w:i w:val="false"/>
          <w:color w:val="000000"/>
          <w:sz w:val="21"/>
        </w:rPr>
        <w:t>[Filed emergency 8/18/00—published 9/6/00, effective 8/18/00]</w:t>
      </w:r>
    </w:p>
    <w:p>
      <w:pPr>
        <w:spacing w:before="0" w:after="0"/>
        <w:ind w:left="120"/>
        <w:jc w:val="center"/>
      </w:pPr>
      <w:r>
        <w:rPr>
          <w:rFonts w:ascii="Times New Roman" w:hAnsi="Times New Roman"/>
          <w:b w:val="false"/>
          <w:i w:val="false"/>
          <w:color w:val="000000"/>
          <w:sz w:val="21"/>
        </w:rPr>
        <w:t>[Filed 10/23/00, Notice 9/6/00—published 11/15/00, effective 12/20/00]</w:t>
      </w:r>
    </w:p>
    <w:p>
      <w:pPr>
        <w:spacing w:before="0" w:after="0"/>
        <w:ind w:left="120"/>
        <w:jc w:val="center"/>
      </w:pPr>
      <w:r>
        <w:rPr>
          <w:rFonts w:ascii="Times New Roman" w:hAnsi="Times New Roman"/>
          <w:b w:val="false"/>
          <w:i w:val="false"/>
          <w:color w:val="000000"/>
          <w:sz w:val="21"/>
        </w:rPr>
        <w:t>[Filed ARC 7844B</w:t>
      </w:r>
      <w:r>
        <w:rPr>
          <w:rFonts w:ascii="Times New Roman" w:hAnsi="Times New Roman"/>
          <w:b w:val="false"/>
          <w:i w:val="false"/>
          <w:color w:val="000000"/>
          <w:sz w:val="21"/>
        </w:rPr>
        <w:t xml:space="preserve"> (Notice ARC 7706B, IAB 4/8/09)</w:t>
      </w:r>
      <w:r>
        <w:rPr>
          <w:rFonts w:ascii="Times New Roman" w:hAnsi="Times New Roman"/>
          <w:b w:val="false"/>
          <w:i w:val="false"/>
          <w:color w:val="000000"/>
          <w:sz w:val="21"/>
        </w:rPr>
        <w:t>, IAB 6/17/09, effective 7/22/09]</w:t>
      </w:r>
    </w:p>
    <w:p>
      <w:pPr>
        <w:spacing w:before="0" w:after="0"/>
        <w:ind w:left="120"/>
        <w:jc w:val="center"/>
      </w:pPr>
      <w:r>
        <w:rPr>
          <w:rFonts w:ascii="Times New Roman" w:hAnsi="Times New Roman"/>
          <w:b w:val="false"/>
          <w:i w:val="false"/>
          <w:color w:val="000000"/>
          <w:sz w:val="21"/>
        </w:rPr>
        <w:t>[Filed Emergency ARC 9746B, IAB 9/7/11, effective 8/19/11]</w:t>
      </w:r>
    </w:p>
    <w:p>
      <w:pPr>
        <w:spacing w:before="0" w:after="0"/>
        <w:ind w:left="120"/>
        <w:jc w:val="center"/>
      </w:pPr>
      <w:r>
        <w:rPr>
          <w:rFonts w:ascii="Times New Roman" w:hAnsi="Times New Roman"/>
          <w:b w:val="false"/>
          <w:i w:val="false"/>
          <w:color w:val="000000"/>
          <w:sz w:val="21"/>
        </w:rPr>
        <w:t>[Filed ARC 0007C</w:t>
      </w:r>
      <w:r>
        <w:rPr>
          <w:rFonts w:ascii="Times New Roman" w:hAnsi="Times New Roman"/>
          <w:b w:val="false"/>
          <w:i w:val="false"/>
          <w:color w:val="000000"/>
          <w:sz w:val="21"/>
        </w:rPr>
        <w:t xml:space="preserve"> (Notice ARC 9747B, IAB 9/7/11)</w:t>
      </w:r>
      <w:r>
        <w:rPr>
          <w:rFonts w:ascii="Times New Roman" w:hAnsi="Times New Roman"/>
          <w:b w:val="false"/>
          <w:i w:val="false"/>
          <w:color w:val="000000"/>
          <w:sz w:val="21"/>
        </w:rPr>
        <w:t>, IAB 2/8/12, effective 3/14/12]</w:t>
      </w:r>
    </w:p>
    <w:p>
      <w:pPr>
        <w:spacing w:before="0" w:after="0"/>
        <w:ind w:left="120"/>
        <w:jc w:val="center"/>
      </w:pPr>
      <w:r>
        <w:rPr>
          <w:rFonts w:ascii="Times New Roman" w:hAnsi="Times New Roman"/>
          <w:b w:val="false"/>
          <w:i w:val="false"/>
          <w:color w:val="000000"/>
          <w:sz w:val="21"/>
        </w:rPr>
        <w:t>[Filed ARC 0944C</w:t>
      </w:r>
      <w:r>
        <w:rPr>
          <w:rFonts w:ascii="Times New Roman" w:hAnsi="Times New Roman"/>
          <w:b w:val="false"/>
          <w:i w:val="false"/>
          <w:color w:val="000000"/>
          <w:sz w:val="21"/>
        </w:rPr>
        <w:t xml:space="preserve"> (Notice ARC 0686C, IAB 4/17/13)</w:t>
      </w:r>
      <w:r>
        <w:rPr>
          <w:rFonts w:ascii="Times New Roman" w:hAnsi="Times New Roman"/>
          <w:b w:val="false"/>
          <w:i w:val="false"/>
          <w:color w:val="000000"/>
          <w:sz w:val="21"/>
        </w:rPr>
        <w:t>, IAB 8/7/13, effective 9/11/13]</w:t>
      </w:r>
    </w:p>
    <w:p>
      <w:pPr>
        <w:spacing w:before="0" w:after="0"/>
        <w:ind w:left="120"/>
        <w:jc w:val="center"/>
      </w:pPr>
      <w:r>
        <w:rPr>
          <w:rFonts w:ascii="Times New Roman" w:hAnsi="Times New Roman"/>
          <w:b w:val="false"/>
          <w:i w:val="false"/>
          <w:color w:val="000000"/>
          <w:sz w:val="21"/>
        </w:rPr>
        <w:t>[Filed ARC 1827C</w:t>
      </w:r>
      <w:r>
        <w:rPr>
          <w:rFonts w:ascii="Times New Roman" w:hAnsi="Times New Roman"/>
          <w:b w:val="false"/>
          <w:i w:val="false"/>
          <w:color w:val="000000"/>
          <w:sz w:val="21"/>
        </w:rPr>
        <w:t xml:space="preserve"> (Notice ARC 1693C, IAB 10/29/14)</w:t>
      </w:r>
      <w:r>
        <w:rPr>
          <w:rFonts w:ascii="Times New Roman" w:hAnsi="Times New Roman"/>
          <w:b w:val="false"/>
          <w:i w:val="false"/>
          <w:color w:val="000000"/>
          <w:sz w:val="21"/>
        </w:rPr>
        <w:t>, IAB 1/21/15, effective 2/25/15]</w:t>
      </w:r>
    </w:p>
    <w:p>
      <w:pPr>
        <w:spacing w:before="0" w:after="0"/>
        <w:ind w:left="120"/>
        <w:jc w:val="center"/>
      </w:pPr>
      <w:r>
        <w:rPr>
          <w:rFonts w:ascii="Times New Roman" w:hAnsi="Times New Roman"/>
          <w:b w:val="false"/>
          <w:i w:val="false"/>
          <w:color w:val="000000"/>
          <w:sz w:val="21"/>
        </w:rPr>
        <w:t>[Filed ARC 4511C</w:t>
      </w:r>
      <w:r>
        <w:rPr>
          <w:rFonts w:ascii="Times New Roman" w:hAnsi="Times New Roman"/>
          <w:b w:val="false"/>
          <w:i w:val="false"/>
          <w:color w:val="000000"/>
          <w:sz w:val="21"/>
        </w:rPr>
        <w:t xml:space="preserve"> (Notice ARC 4281C, IAB 2/13/19)</w:t>
      </w:r>
      <w:r>
        <w:rPr>
          <w:rFonts w:ascii="Times New Roman" w:hAnsi="Times New Roman"/>
          <w:b w:val="false"/>
          <w:i w:val="false"/>
          <w:color w:val="000000"/>
          <w:sz w:val="21"/>
        </w:rPr>
        <w:t>, IAB 6/19/19, effective 7/24/19]</w:t>
      </w:r>
    </w:p>
    <w:p>
      <w:pPr>
        <w:spacing w:before="0" w:after="0"/>
        <w:ind w:left="120"/>
        <w:jc w:val="center"/>
      </w:pPr>
      <w:r>
        <w:rPr>
          <w:rFonts w:ascii="Times New Roman" w:hAnsi="Times New Roman"/>
          <w:b w:val="false"/>
          <w:i w:val="false"/>
          <w:color w:val="000000"/>
          <w:sz w:val="21"/>
        </w:rPr>
        <w:t>[Filed ARC 6042C</w:t>
      </w:r>
      <w:r>
        <w:rPr>
          <w:rFonts w:ascii="Times New Roman" w:hAnsi="Times New Roman"/>
          <w:b w:val="false"/>
          <w:i w:val="false"/>
          <w:color w:val="000000"/>
          <w:sz w:val="21"/>
        </w:rPr>
        <w:t xml:space="preserve"> (Notice ARC 5850C, IAB 8/11/21)</w:t>
      </w:r>
      <w:r>
        <w:rPr>
          <w:rFonts w:ascii="Times New Roman" w:hAnsi="Times New Roman"/>
          <w:b w:val="false"/>
          <w:i w:val="false"/>
          <w:color w:val="000000"/>
          <w:sz w:val="21"/>
        </w:rPr>
        <w:t>, IAB 11/17/21, effective 12/22/21]</w:t>
      </w:r>
    </w:p>
    <w:p>
      <w:pPr>
        <w:spacing w:before="0" w:after="0"/>
        <w:ind w:left="120"/>
        <w:jc w:val="center"/>
      </w:pPr>
      <w:r>
        <w:rPr>
          <w:rFonts w:ascii="Times New Roman" w:hAnsi="Times New Roman"/>
          <w:b w:val="false"/>
          <w:i w:val="false"/>
          <w:color w:val="000000"/>
          <w:sz w:val="21"/>
        </w:rPr>
        <w:t>[Filed ARC 6792C</w:t>
      </w:r>
      <w:r>
        <w:rPr>
          <w:rFonts w:ascii="Times New Roman" w:hAnsi="Times New Roman"/>
          <w:b w:val="false"/>
          <w:i w:val="false"/>
          <w:color w:val="000000"/>
          <w:sz w:val="21"/>
        </w:rPr>
        <w:t xml:space="preserve"> (Notice ARC 6593C, IAB 10/19/22)</w:t>
      </w:r>
      <w:r>
        <w:rPr>
          <w:rFonts w:ascii="Times New Roman" w:hAnsi="Times New Roman"/>
          <w:b w:val="false"/>
          <w:i w:val="false"/>
          <w:color w:val="000000"/>
          <w:sz w:val="21"/>
        </w:rPr>
        <w:t>, IAB 1/11/23, effective 2/15/23]</w:t>
      </w:r>
    </w:p>
    <w:p>
      <w:pPr>
        <w:spacing w:before="0" w:after="0"/>
        <w:ind w:left="120"/>
        <w:jc w:val="center"/>
      </w:pPr>
      <w:r>
        <w:rPr>
          <w:rFonts w:ascii="Times New Roman" w:hAnsi="Times New Roman"/>
          <w:b w:val="false"/>
          <w:i w:val="false"/>
          <w:color w:val="000000"/>
          <w:sz w:val="21"/>
        </w:rPr>
        <w:t>[Filed ARC 0132D</w:t>
      </w:r>
      <w:r>
        <w:rPr>
          <w:rFonts w:ascii="Times New Roman" w:hAnsi="Times New Roman"/>
          <w:b w:val="false"/>
          <w:i w:val="false"/>
          <w:color w:val="000000"/>
          <w:sz w:val="21"/>
        </w:rPr>
        <w:t xml:space="preserve"> (Notice ARC 9832C, IAB 12/24/25)</w:t>
      </w:r>
      <w:r>
        <w:rPr>
          <w:rFonts w:ascii="Times New Roman" w:hAnsi="Times New Roman"/>
          <w:b w:val="false"/>
          <w:i w:val="false"/>
          <w:color w:val="000000"/>
          <w:sz w:val="21"/>
        </w:rPr>
        <w:t>, IAB 3/18/26, effective 4/22/26]</w:t>
      </w:r>
    </w:p>
    <w:sectPr>
      <w:footerReference r:id="rId33"/>
      <w:pgSz w:w="11907" w:h="16839" w:code="9"/>
      <w:pgMar w:top="1440" w:right="1440" w:bottom="1440" w:left="1440"/>
    </w:sectPr>
  </w:body>
</w:document>
</file>

<file path=word/footer.xml><?xml version="1.0" encoding="utf-8"?>
<w:ftr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105.pdf" Type="http://schemas.openxmlformats.org/officeDocument/2006/relationships/hyperlink" Id="rId5"/>
    <Relationship TargetMode="External" Target="https://www.legis.iowa.gov/docs/ico/chapter/15.102.pdf" Type="http://schemas.openxmlformats.org/officeDocument/2006/relationships/hyperlink" Id="rId6"/>
    <Relationship TargetMode="External" Target="https://www.legis.iowa.gov/docs/ico/chapter/15.291.pdf" Type="http://schemas.openxmlformats.org/officeDocument/2006/relationships/hyperlink" Id="rId7"/>
    <Relationship TargetMode="External" Target="https://www.legis.iowa.gov/docs/ico/chapter/15.291.pdf" Type="http://schemas.openxmlformats.org/officeDocument/2006/relationships/hyperlink" Id="rId8"/>
    <Relationship TargetMode="External" Target="https://www.legis.iowa.gov/docs/iac/rule/261.65.2.pdf" Type="http://schemas.openxmlformats.org/officeDocument/2006/relationships/hyperlink" Id="rId9"/>
    <Relationship TargetMode="External" Target="https://www.legis.iowa.gov/docs/ico/chapter/15.pdf" Type="http://schemas.openxmlformats.org/officeDocument/2006/relationships/hyperlink" Id="rId10"/>
    <Relationship TargetMode="External" Target="https://www.legis.iowa.gov/docs/ico/chapter/15.291.pdf" Type="http://schemas.openxmlformats.org/officeDocument/2006/relationships/hyperlink" Id="rId11"/>
    <Relationship TargetMode="External" Target="https://www.legis.iowa.gov/docs/ico/chapter/15.291.pdf" Type="http://schemas.openxmlformats.org/officeDocument/2006/relationships/hyperlink" Id="rId12"/>
    <Relationship TargetMode="External" Target="https://www.legis.iowa.gov/docs/ico/chapter/403.2.pdf" Type="http://schemas.openxmlformats.org/officeDocument/2006/relationships/hyperlink" Id="rId13"/>
    <Relationship TargetMode="External" Target="https://www.legis.iowa.gov/docs/ico/chapter/15.pdf" Type="http://schemas.openxmlformats.org/officeDocument/2006/relationships/hyperlink" Id="rId14"/>
    <Relationship TargetMode="External" Target="https://www.legis.iowa.gov/docs/iac/chapter/567.135.pdf" Type="http://schemas.openxmlformats.org/officeDocument/2006/relationships/hyperlink" Id="rId15"/>
    <Relationship TargetMode="External" Target="https://www.legis.iowa.gov/docs/ico/chapter/15.293B.pdf" Type="http://schemas.openxmlformats.org/officeDocument/2006/relationships/hyperlink" Id="rId16"/>
    <Relationship TargetMode="External" Target="https://www.legis.iowa.gov/docs/ico/chapter/15.293B.pdf" Type="http://schemas.openxmlformats.org/officeDocument/2006/relationships/hyperlink" Id="rId17"/>
    <Relationship TargetMode="External" Target="https://www.legis.iowa.gov/docs/ico/chapter/15.293B.pdf" Type="http://schemas.openxmlformats.org/officeDocument/2006/relationships/hyperlink" Id="rId18"/>
    <Relationship TargetMode="External" Target="https://www.legis.iowa.gov/docs/ico/chapter/15.293B.pdf" Type="http://schemas.openxmlformats.org/officeDocument/2006/relationships/hyperlink" Id="rId19"/>
    <Relationship TargetMode="External" Target="https://www.legis.iowa.gov/docs/ico/chapter/15.pdf" Type="http://schemas.openxmlformats.org/officeDocument/2006/relationships/hyperlink" Id="rId20"/>
    <Relationship TargetMode="External" Target="https://www.legis.iowa.gov/docs/iac/rule/261.65.4.pdf" Type="http://schemas.openxmlformats.org/officeDocument/2006/relationships/hyperlink" Id="rId21"/>
    <Relationship TargetMode="External" Target="https://www.legis.iowa.gov/docs/ico/chapter/15.293B.pdf" Type="http://schemas.openxmlformats.org/officeDocument/2006/relationships/hyperlink" Id="rId22"/>
    <Relationship TargetMode="External" Target="https://www.legis.iowa.gov/docs/ico/chapter/15.293B.pdf" Type="http://schemas.openxmlformats.org/officeDocument/2006/relationships/hyperlink" Id="rId23"/>
    <Relationship TargetMode="External" Target="https://www.legis.iowa.gov/docs/ico/chapter/15.293B.pdf" Type="http://schemas.openxmlformats.org/officeDocument/2006/relationships/hyperlink" Id="rId24"/>
    <Relationship TargetMode="External" Target="https://www.legis.iowa.gov/docs/ico/chapter/15.pdf" Type="http://schemas.openxmlformats.org/officeDocument/2006/relationships/hyperlink" Id="rId25"/>
    <Relationship TargetMode="External" Target="https://www.legis.iowa.gov/docs/ico/chapter/15.pdf" Type="http://schemas.openxmlformats.org/officeDocument/2006/relationships/hyperlink" Id="rId26"/>
    <Relationship TargetMode="External" Target="https://www.legis.iowa.gov/docs/ico/chapter/15.293B.pdf" Type="http://schemas.openxmlformats.org/officeDocument/2006/relationships/hyperlink" Id="rId27"/>
    <Relationship TargetMode="External" Target="https://www.legis.iowa.gov/docs/iac/rule/261.65.4.pdf" Type="http://schemas.openxmlformats.org/officeDocument/2006/relationships/hyperlink" Id="rId28"/>
    <Relationship TargetMode="External" Target="https://www.legis.iowa.gov/docs/ico/chapter/15.293A.pdf" Type="http://schemas.openxmlformats.org/officeDocument/2006/relationships/hyperlink" Id="rId29"/>
    <Relationship TargetMode="External" Target="https://www.legis.iowa.gov/docs/ico/chapter/15.293A.pdf" Type="http://schemas.openxmlformats.org/officeDocument/2006/relationships/hyperlink" Id="rId30"/>
    <Relationship TargetMode="External" Target="https://www.legis.iowa.gov/docs/ico/chapter/15.293A.pdf" Type="http://schemas.openxmlformats.org/officeDocument/2006/relationships/hyperlink" Id="rId31"/>
    <Relationship TargetMode="External" Target="https://www.legis.iowa.gov/docs/ico/chapter/15.pdf" Type="http://schemas.openxmlformats.org/officeDocument/2006/relationships/hyperlink" Id="rId32"/>
    <Relationship Target="footer.xml" Type="http://schemas.openxmlformats.org/officeDocument/2006/relationships/footer" Id="rId3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