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56</w:t>
      </w:r>
    </w:p>
    <w:p>
      <w:pPr>
        <w:spacing w:before="0" w:after="0"/>
        <w:ind w:left="120"/>
        <w:jc w:val="center"/>
      </w:pPr>
      <w:r>
        <w:rPr>
          <w:rFonts w:ascii="Times New Roman" w:hAnsi="Times New Roman"/>
          <w:b w:val="false"/>
          <w:i w:val="false"/>
          <w:color w:val="000000"/>
          <w:sz w:val="21"/>
        </w:rPr>
        <w:t>EMPLOYEE STOCK OWNERSHIP PLAN (ESOP) FORMATION ASSISTANCE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261—56.1</w:t>
      </w:r>
      <w:r>
        <w:rPr>
          <w:rFonts w:ascii="Times New Roman" w:hAnsi="Times New Roman"/>
          <w:b/>
          <w:i w:val="false"/>
          <w:color w:val="000000"/>
          <w:sz w:val="22"/>
        </w:rPr>
        <w:t xml:space="preserve">(85GA,HF648)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business applying for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 corporation eligible to become a qualified Iowa ESOP.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 payment made by the authority to an applicant approved for funding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ESOP formation assistance program established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Iowa ESOP” </w:t>
      </w:r>
      <w:r>
        <w:rPr>
          <w:rFonts w:ascii="Times New Roman" w:hAnsi="Times New Roman"/>
          <w:b w:val="false"/>
          <w:i w:val="false"/>
          <w:color w:val="000000"/>
          <w:sz w:val="22"/>
        </w:rPr>
        <w:t xml:space="preserve">means an employee stock ownership plan, as defined in </w:t>
      </w:r>
      <w:r>
        <w:rPr>
          <w:rFonts w:ascii="Times New Roman" w:hAnsi="Times New Roman"/>
          <w:b w:val="false"/>
          <w:i w:val="false"/>
          <w:color w:val="000000"/>
          <w:sz w:val="22"/>
        </w:rPr>
        <w:t>Section 4975(e)(7) of the Internal Revenue Code</w:t>
      </w:r>
      <w:r>
        <w:rPr>
          <w:rFonts w:ascii="Times New Roman" w:hAnsi="Times New Roman"/>
          <w:b w:val="false"/>
          <w:i w:val="false"/>
          <w:color w:val="000000"/>
          <w:sz w:val="22"/>
        </w:rPr>
        <w:t xml:space="preserve"> as in effect on February 25, 2026, and trust that are established by an Iowa corporation for the benefit of the employees of the corporation.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9999C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261—56.2</w:t>
      </w:r>
      <w:r>
        <w:rPr>
          <w:rFonts w:ascii="Times New Roman" w:hAnsi="Times New Roman"/>
          <w:b/>
          <w:i w:val="false"/>
          <w:color w:val="000000"/>
          <w:sz w:val="22"/>
        </w:rPr>
        <w:t xml:space="preserve">(85GA,HF648) </w:t>
      </w:r>
      <w:r>
        <w:rPr>
          <w:rFonts w:ascii="Times New Roman" w:hAnsi="Times New Roman"/>
          <w:b/>
          <w:i w:val="false"/>
          <w:color w:val="000000"/>
          <w:sz w:val="22"/>
        </w:rPr>
        <w:t xml:space="preserve">Program eligibility, application, and 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r>
        <w:rPr>
          <w:rFonts w:ascii="Times New Roman" w:hAnsi="Times New Roman"/>
          <w:b w:val="false"/>
          <w:i w:val="false"/>
          <w:color w:val="000000"/>
          <w:sz w:val="22"/>
        </w:rPr>
        <w:t>To be eligible under the program,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is interested in establishing an ESOP.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business is, or documents intent to become, an Internal Revenue Service (IRS) subchapter C or subchapter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business has a valuation that is sufficient to make an ESOP feasible. A business with valuation less than $5 million is generally not considered a feasible candidate for an ESOP.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business has a number of employees, eligible employee types, and a total payroll that are sufficient to make an ESOP feasible. A business with fewer than 25 full-time, permanent employees is generally not considered a feasible candidate for an ESOP.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a cash flow level sufficient to make an ESOP feasible. A business with cash flow less than $500,000 is generally not considered a feasible candidate for an ESOP.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is not a business engaged in the business of sale at retail of tangible personal property or taxable services in this state or online. “Sale at retail” means the same as defined in Iowa Code section </w:t>
      </w:r>
      <w:hyperlink r:id="rId6">
        <w:r>
          <w:rPr>
            <w:rStyle w:val="Hyperlink"/>
            <w:rFonts w:ascii="Times New Roman" w:hAnsi="Times New Roman"/>
            <w:b w:val="false"/>
            <w:i w:val="false"/>
            <w:color w:val="000000"/>
            <w:sz w:val="22"/>
          </w:rPr>
          <w:t>423.1(46)</w:t>
        </w:r>
      </w:hyperlink>
      <w:r>
        <w:rPr>
          <w:rFonts w:ascii="Times New Roman" w:hAnsi="Times New Roman"/>
          <w:b w:val="false"/>
          <w:i w:val="false"/>
          <w:color w:val="000000"/>
          <w:sz w:val="22"/>
        </w:rPr>
        <w:t xml:space="preserve">. Any business obligated to collect sales or use tax under Iowa Code chapter </w:t>
      </w:r>
      <w:hyperlink r:id="rId7">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may be ineligible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business is not a publicly traded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business has not completed a feasibility study for purposes of exploring formation of a qualified Iowa ESOP in the three years prior to application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authority will accept applications for the program on a rolling basis. Information on submitting an application is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56.2(3)</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w:t>
      </w:r>
      <w:r>
        <w:rPr>
          <w:rFonts w:ascii="Times New Roman" w:hAnsi="Times New Roman"/>
          <w:b w:val="false"/>
          <w:i w:val="false"/>
          <w:color w:val="000000"/>
          <w:sz w:val="22"/>
        </w:rPr>
        <w:t>The authority may engage outside experts for assistance in evaluating the applications as needed. An applicant may be required to interview with authority staff or outside experts engaged by the authority. Authority staff will score applications based on the extent to which an applicant is a feasible candidate to form a qualified Iowa ESOP. The authority will keep records of the scoring process and make those records available to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56.2(4)</w:t>
      </w:r>
      <w:r>
        <w:rPr>
          <w:rFonts w:ascii="Times New Roman" w:hAnsi="Times New Roman"/>
          <w:b w:val="false"/>
          <w:i w:val="false"/>
          <w:color w:val="000000"/>
          <w:sz w:val="22"/>
        </w:rPr>
        <w:t> </w:t>
      </w:r>
      <w:r>
        <w:rPr>
          <w:rFonts w:ascii="Times New Roman" w:hAnsi="Times New Roman"/>
          <w:b w:val="false"/>
          <w:i/>
          <w:color w:val="000000"/>
          <w:sz w:val="22"/>
        </w:rPr>
        <w:t xml:space="preserve">Funding decisions. </w:t>
      </w:r>
      <w:r>
        <w:rPr>
          <w:rFonts w:ascii="Times New Roman" w:hAnsi="Times New Roman"/>
          <w:b w:val="false"/>
          <w:i w:val="false"/>
          <w:color w:val="000000"/>
          <w:sz w:val="22"/>
        </w:rPr>
        <w:t>The director will make the final funding decision on each application, taking into consideration the score and the funding recommendation of authority staff. The director will not approve funding for an application that receives an average score of less than 50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56.2(5)</w:t>
      </w:r>
      <w:r>
        <w:rPr>
          <w:rFonts w:ascii="Times New Roman" w:hAnsi="Times New Roman"/>
          <w:b w:val="false"/>
          <w:i w:val="false"/>
          <w:color w:val="000000"/>
          <w:sz w:val="22"/>
        </w:rPr>
        <w:t> </w:t>
      </w:r>
      <w:r>
        <w:rPr>
          <w:rFonts w:ascii="Times New Roman" w:hAnsi="Times New Roman"/>
          <w:b w:val="false"/>
          <w:i/>
          <w:color w:val="000000"/>
          <w:sz w:val="22"/>
        </w:rPr>
        <w:t xml:space="preserve">Amount of assistance. </w:t>
      </w:r>
      <w:r>
        <w:rPr>
          <w:rFonts w:ascii="Times New Roman" w:hAnsi="Times New Roman"/>
          <w:b w:val="false"/>
          <w:i w:val="false"/>
          <w:color w:val="000000"/>
          <w:sz w:val="22"/>
        </w:rPr>
        <w:t>An applicant to the program may be approved for financial assistance in an amount equal to 50 percent of the cost incurred for obtaining a feasibility study conducted by an independent financial professional. The total amount of financial assistance provided to an applicant will not exceed $25,000.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9999C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261—56.3</w:t>
      </w:r>
      <w:r>
        <w:rPr>
          <w:rFonts w:ascii="Times New Roman" w:hAnsi="Times New Roman"/>
          <w:b/>
          <w:i w:val="false"/>
          <w:color w:val="000000"/>
          <w:sz w:val="22"/>
        </w:rPr>
        <w:t xml:space="preserve">(85GA,HF648) </w:t>
      </w:r>
      <w:r>
        <w:rPr>
          <w:rFonts w:ascii="Times New Roman" w:hAnsi="Times New Roman"/>
          <w:b/>
          <w:i w:val="false"/>
          <w:color w:val="000000"/>
          <w:sz w:val="22"/>
        </w:rPr>
        <w:t xml:space="preserve">Contract and disbursement.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56.3(1)</w:t>
      </w:r>
      <w:r>
        <w:rPr>
          <w:rFonts w:ascii="Times New Roman" w:hAnsi="Times New Roman"/>
          <w:b w:val="false"/>
          <w:i w:val="false"/>
          <w:color w:val="000000"/>
          <w:sz w:val="22"/>
        </w:rPr>
        <w:t> </w:t>
      </w:r>
      <w:r>
        <w:rPr>
          <w:rFonts w:ascii="Times New Roman" w:hAnsi="Times New Roman"/>
          <w:b w:val="false"/>
          <w:i w:val="false"/>
          <w:color w:val="000000"/>
          <w:sz w:val="22"/>
        </w:rPr>
        <w:t>Each applicant that is approved for financial assistance under the program shall enter into an agreement with the authority to establish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56.3(2)</w:t>
      </w:r>
      <w:r>
        <w:rPr>
          <w:rFonts w:ascii="Times New Roman" w:hAnsi="Times New Roman"/>
          <w:b w:val="false"/>
          <w:i w:val="false"/>
          <w:color w:val="000000"/>
          <w:sz w:val="22"/>
        </w:rPr>
        <w:t> </w:t>
      </w:r>
      <w:r>
        <w:rPr>
          <w:rFonts w:ascii="Times New Roman" w:hAnsi="Times New Roman"/>
          <w:b w:val="false"/>
          <w:i w:val="false"/>
          <w:color w:val="000000"/>
          <w:sz w:val="22"/>
        </w:rPr>
        <w:t>The authority may reimburse a business for up to 25 percent of the cost of a feasibility study upon completion of the feasibility study. The authority may reimburse a business for up to 25 percent of the cost of a feasibility study upon formation of a qualified Iowa ESOP. The business must document the costs incurred and completion of all necessary transactions to the satisfaction of the authority prior to disbursement. Costs incurred prior to approval of financial assistance will not be eligible for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9999C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2013 Iowa Acts, House File 648</w:t>
      </w:r>
      <w:r>
        <w:rPr>
          <w:rFonts w:ascii="Times New Roman" w:hAnsi="Times New Roman"/>
          <w:b w:val="false"/>
          <w:i w:val="false"/>
          <w:color w:val="000000"/>
          <w:sz w:val="22"/>
        </w:rPr>
        <w:t>, section 9.</w:t>
      </w:r>
    </w:p>
    <w:p>
      <w:pPr>
        <w:spacing w:before="0" w:after="0"/>
        <w:ind w:left="120"/>
        <w:jc w:val="center"/>
      </w:pPr>
      <w:r>
        <w:rPr>
          <w:rFonts w:ascii="Times New Roman" w:hAnsi="Times New Roman"/>
          <w:b w:val="false"/>
          <w:i w:val="false"/>
          <w:color w:val="000000"/>
          <w:sz w:val="21"/>
        </w:rPr>
        <w:t>[Filed ARC 1249C</w:t>
      </w:r>
      <w:r>
        <w:rPr>
          <w:rFonts w:ascii="Times New Roman" w:hAnsi="Times New Roman"/>
          <w:b w:val="false"/>
          <w:i w:val="false"/>
          <w:color w:val="000000"/>
          <w:sz w:val="21"/>
        </w:rPr>
        <w:t xml:space="preserve"> (Notice ARC 1021C, IAB 9/18/13)</w:t>
      </w:r>
      <w:r>
        <w:rPr>
          <w:rFonts w:ascii="Times New Roman" w:hAnsi="Times New Roman"/>
          <w:b w:val="false"/>
          <w:i w:val="false"/>
          <w:color w:val="000000"/>
          <w:sz w:val="21"/>
        </w:rPr>
        <w:t>, IAB 12/25/13, effective 1/29/14]</w:t>
      </w:r>
    </w:p>
    <w:p>
      <w:pPr>
        <w:spacing w:before="0" w:after="0"/>
        <w:ind w:left="120"/>
        <w:jc w:val="center"/>
      </w:pPr>
      <w:r>
        <w:rPr>
          <w:rFonts w:ascii="Times New Roman" w:hAnsi="Times New Roman"/>
          <w:b w:val="false"/>
          <w:i w:val="false"/>
          <w:color w:val="000000"/>
          <w:sz w:val="21"/>
        </w:rPr>
        <w:t>[Filed ARC 6891C</w:t>
      </w:r>
      <w:r>
        <w:rPr>
          <w:rFonts w:ascii="Times New Roman" w:hAnsi="Times New Roman"/>
          <w:b w:val="false"/>
          <w:i w:val="false"/>
          <w:color w:val="000000"/>
          <w:sz w:val="21"/>
        </w:rPr>
        <w:t xml:space="preserve"> (Notice ARC 6738C, IAB 12/14/22)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9999C</w:t>
      </w:r>
      <w:r>
        <w:rPr>
          <w:rFonts w:ascii="Times New Roman" w:hAnsi="Times New Roman"/>
          <w:b w:val="false"/>
          <w:i w:val="false"/>
          <w:color w:val="000000"/>
          <w:sz w:val="21"/>
        </w:rPr>
        <w:t xml:space="preserve"> (Notice ARC 9544C, IAB 9/17/25)</w:t>
      </w:r>
      <w:r>
        <w:rPr>
          <w:rFonts w:ascii="Times New Roman" w:hAnsi="Times New Roman"/>
          <w:b w:val="false"/>
          <w:i w:val="false"/>
          <w:color w:val="000000"/>
          <w:sz w:val="21"/>
        </w:rPr>
        <w:t>, IAB 1/21/26, effective 2/25/26]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423.1.pdf" Type="http://schemas.openxmlformats.org/officeDocument/2006/relationships/hyperlink" Id="rId6"/>
    <Relationship TargetMode="External" Target="https://www.legis.iowa.gov/docs/ico/chapter/42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