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IOWA TARGETED SMALL BUSINESS CERTIFICATION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11/20/29</w:t>
      </w:r>
    </w:p>
    <w:p>
      <w:pPr>
        <w:spacing w:before="0" w:after="0"/>
        <w:ind w:left="120"/>
        <w:jc w:val="both"/>
      </w:pPr>
      <w:r>
        <w:rPr>
          <w:rFonts w:ascii="Times New Roman" w:hAnsi="Times New Roman"/>
          <w:b/>
          <w:i w:val="false"/>
          <w:color w:val="000000"/>
          <w:sz w:val="22"/>
        </w:rPr>
        <w:t>261—52.1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targeted small business procurement Act codified in Iowa Code chapter </w:t>
      </w:r>
      <w:hyperlink r:id="rId5">
        <w:r>
          <w:rPr>
            <w:rStyle w:val="Hyperlink"/>
            <w:rFonts w:ascii="Times New Roman" w:hAnsi="Times New Roman"/>
            <w:b w:val="false"/>
            <w:i w:val="false"/>
            <w:color w:val="000000"/>
            <w:sz w:val="22"/>
          </w:rPr>
          <w:t>73, subchapter III</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that identifies small businesses as targeted small businesses and as eligible for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targeted small business certification program described in this chapter and </w:t>
      </w:r>
      <w:hyperlink r:id="rId9">
        <w:r>
          <w:rPr>
            <w:rStyle w:val="Hyperlink"/>
            <w:rFonts w:ascii="Times New Roman" w:hAnsi="Times New Roman"/>
            <w:b w:val="false"/>
            <w:i w:val="false"/>
            <w:color w:val="000000"/>
            <w:sz w:val="22"/>
          </w:rPr>
          <w:t>261—Chapter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“Service-disabled veteran” </w:t>
      </w:r>
      <w:r>
        <w:rPr>
          <w:rFonts w:ascii="Times New Roman" w:hAnsi="Times New Roman"/>
          <w:b w:val="false"/>
          <w:i w:val="false"/>
          <w:color w:val="000000"/>
          <w:sz w:val="22"/>
        </w:rPr>
        <w:t>means a veteran who provides written verification from the U.S. Department of Veterans Affairs or the U.S. Department of Defense of a disability that was incurred or aggravated in the line of duty in active military, naval, air, or space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group person” </w:t>
      </w:r>
      <w:r>
        <w:rPr>
          <w:rFonts w:ascii="Times New Roman" w:hAnsi="Times New Roman"/>
          <w:b w:val="false"/>
          <w:i w:val="false"/>
          <w:color w:val="000000"/>
          <w:sz w:val="22"/>
        </w:rPr>
        <w:t>means a minority person, woman, person with a disability, or service-disabled veteran who is either an Iowa resident or a resident of a contiguous state who lives within 50 miles of the targeted small business the person owns, operates, and actively manages.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“TSB”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any female 18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261—52.2</w:t>
      </w:r>
      <w:r>
        <w:rPr>
          <w:rFonts w:ascii="Times New Roman" w:hAnsi="Times New Roman"/>
          <w:b/>
          <w:i w:val="false"/>
          <w:color w:val="000000"/>
          <w:sz w:val="22"/>
        </w:rPr>
        <w:t xml:space="preserve">(15) </w:t>
      </w:r>
      <w:r>
        <w:rPr>
          <w:rFonts w:ascii="Times New Roman" w:hAnsi="Times New Roman"/>
          <w:b/>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A business must be certified as a targeted small business by the authority to participate in the program. Businesses seeking certification shall submit an application to the authority in the form and content required by the authority. The application will include information to establish whether a business meets the eligibility criteria of the program. An authorized representative of the business shall sign the application and an authorization to release information. Applications may be requested by contacting the authority or by visiting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The authority reviews applications to determine whether a business is eligible to participate in the program pursuant to this chapter as in effect as of the date of application for certification. The authority will notify applicants in writing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Certified businesses shall submit verification of continued eligibility to the authority at least every two years. The application for recertification will be provided by the authority. The authority will determine whether a certified business is eligible for recertification pursuant to this chapter as in effect as of the date of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 business that fails to provide any supplemental information requested by the authority may be denied certification 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 xml:space="preserve">Any business that is denied certification or decertified may reapply. The business bears the burden of demonstrating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A certified business shall notify the authority within 30 days following a change in ownership or control of a certified business or if the targeted group person no longer actively manages the business. The notice must be accompanied by sufficient documentation to determine whether the business continues to be eligible for certification. The authority may require a business to submit a new application following a change in ownership, control, or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The authority will consider the following to determine whether a business is a targeted small business pursuant to Iowa Code section </w:t>
      </w:r>
      <w:hyperlink r:id="rId11">
        <w:r>
          <w:rPr>
            <w:rStyle w:val="Hyperlink"/>
            <w:rFonts w:ascii="Times New Roman" w:hAnsi="Times New Roman"/>
            <w:b w:val="false"/>
            <w:i w:val="false"/>
            <w:color w:val="000000"/>
            <w:sz w:val="22"/>
          </w:rPr>
          <w:t>15.102(12)</w:t>
        </w:r>
      </w:hyperlink>
      <w:r>
        <w:rPr>
          <w:rFonts w:ascii="Times New Roman" w:hAnsi="Times New Roman"/>
          <w:b w:val="false"/>
          <w:i w:val="false"/>
          <w:color w:val="000000"/>
          <w:sz w:val="22"/>
        </w:rPr>
        <w:t xml:space="preserve"> and eligible for certification. Documentation may be required to prove each eligibility requirement. The authority may conduct on-site audits to evaluate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The authority will evaluate the following factors that indicate independent ownership by a targeted group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shall not be a subsidiary of any other business. If another business that is not a TSB has an interest in a TSB applying for certification, the authority will scrutinize the relationship between the businesses to determine the independence of the TSB. Recognition of the business as a separate entity for tax or corporate purposes is not solely sufficient to demonstrate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targeted group person owner(s) shall enjoy the customary incidents and profits of ownership and share in the risks commensurate with the owner’s ownership interest. The authority will consider the substance rather than the form of the arrangements. Business arrangements that deviate from common industry practice may indicate an owner other than the targeted group person owns, operates, and actively manages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51 percent of the members of the business’s board of directors must be targeted group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51 percent of the shares or other units of ownership of the business must be owned by one or more targeted group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business should be compensated for facilities, inventory, equipment, labor, or other items it owns and shares with any other business. Compensation shall not vary from common industry practice. If an applicant business is operated from the owner’s residence, the residence and any adjacent outbuildings used by the applicant business may be owned jointly with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Decision-making authority. The targeted group person owner(s) shall have authority to incur liability and to decide financial and policy questions without any restrictions, either formal or informal.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review documents, including but not limited to minutes of board or owners meetings, bylaw provisions, operating agreements, certificates of organization, partnership agreements, charter requirements for cumulative voting rights, or employment agreements to determine the targeted group person’s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targeted group person owner(s) shall make day-to-day decisions as well as major decisions on management policy and operation of the business. Authority to hire and to fire all personnel shall be vested in the targeted group person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consider particular positions to determine who has major responsibility in a company. These people include but are not limited to those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any applicable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Devote substantial time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Supervise or direct the supervision of management and field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Prepare or approve bids or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Participate in price and bidding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Make final decisions about staff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 contracts and checks or authorize action on behalf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Expertise. The targeted group person owner(s) must have an overall understanding of, managerial and technical competence in, and expertise directly related to the type or nature of business in which the business is engaged and in the business’s operations. Generally, expertise limited to office management, administration, or bookkeeping functions unrelated to the activities of the business is insufficient to demonstrate control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 xml:space="preserve">Capital contributions. Capital contributions by the targeted group person owner(s) to acquire interest in the business shall be real and substantial and reflected in documents such as stock certificates, articles of incorporation, minutes of board or owners meetings, partnership agreements, or income tax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Capital contribution, expertise, and experience in an inherited business are not required. All other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Businesses that are owned and operated by one or more members of the same family will be closely scrutinized to determine whether the targeted group person identified as the owner of 51 percent or more of the business sets policy and makes day-to-day and long-term decisions for the operation and management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A previous or continuing employer-employee relationship between present owners will be closely scrutinized to ensure that the employee-owner has substantial management and decision-making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A disabled targeted group person must provide certification of the disability from a licensed medical physician, physician assistant, or nurse practitioner with relevant expertise or must have been found eligible for vocational rehabilitation services by the department of workforce development, division of vocational rehabilitation services, or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an applicant’s gross income as follows: the total sales less the cost of goods sold plus any income from investments and from incidentals or outside operations or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261—52.4</w:t>
      </w:r>
      <w:r>
        <w:rPr>
          <w:rFonts w:ascii="Times New Roman" w:hAnsi="Times New Roman"/>
          <w:b/>
          <w:i w:val="false"/>
          <w:color w:val="000000"/>
          <w:sz w:val="22"/>
        </w:rPr>
        <w:t xml:space="preserve">(15) </w:t>
      </w:r>
      <w:r>
        <w:rPr>
          <w:rFonts w:ascii="Times New Roman" w:hAnsi="Times New Roman"/>
          <w:b/>
          <w:i w:val="false"/>
          <w:color w:val="000000"/>
          <w:sz w:val="22"/>
        </w:rPr>
        <w:t xml:space="preserve">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there is reasonable cause to believe a business does not comply with the requirements of the program, the authority shall provide written notice of the intent to revoke certification to the business. Notice shall be sent at least 20 days before decertification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val="false"/>
          <w:color w:val="000000"/>
          <w:sz w:val="22"/>
        </w:rPr>
        <w:t>The authority shall revoke certification of a TSB if the authority determines that a fraudulent practice related to the program has occurred. The authority or its representative may investigate allegations or complaints of fraudulent practices. A person is considered to have engaged in a fraudulent practice related to the program if the person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transfers or assigns assets, ownership, or equitable interest in property of a business to a targeted group person primarily for the purpose of obtaining benefits afforded only to TSBs if the transferor would otherwise not be qualified for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Solicits and is awarded a state contract on behalf of a TSB for the purpose of transferring the contract if the person transferring or intending to transfer the work had no intention of performing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falsifies information on an application for the purpose of obtaining benefits afforded only to TSBs.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val="false"/>
          <w:color w:val="000000"/>
          <w:sz w:val="22"/>
        </w:rPr>
        <w:t>A TSB may be decertified if the authority sends a letter by first-class mail to the last-known address provided to the authority by the TSB and it is returned as undeliverable.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w:t>
      </w:r>
      <w:r>
        <w:rPr>
          <w:rFonts w:ascii="Times New Roman" w:hAnsi="Times New Roman"/>
          <w:b w:val="false"/>
          <w:i w:val="false"/>
          <w:color w:val="000000"/>
          <w:sz w:val="22"/>
        </w:rPr>
        <w:t> </w:t>
      </w:r>
      <w:r>
        <w:rPr>
          <w:rFonts w:ascii="Times New Roman" w:hAnsi="Times New Roman"/>
          <w:b w:val="false"/>
          <w:i w:val="false"/>
          <w:color w:val="000000"/>
          <w:sz w:val="22"/>
        </w:rPr>
        <w:t>Eligibility to participate in the program continues until the authority issues a final decision regarding decertification of a TSB.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261—52.5</w:t>
      </w:r>
      <w:r>
        <w:rPr>
          <w:rFonts w:ascii="Times New Roman" w:hAnsi="Times New Roman"/>
          <w:b/>
          <w:i w:val="false"/>
          <w:color w:val="000000"/>
          <w:sz w:val="22"/>
        </w:rPr>
        <w:t xml:space="preserve">(15)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targeted small business may seek a satisfaction, performance, surety, or bid bond waiver from a state agency pursuant to Iowa Code section </w:t>
      </w:r>
      <w:hyperlink r:id="rId12">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 xml:space="preserve">. A TSB must provide a sworn statement and documentation from surety companies verifying that the TSB is entitled to a waiver pursuant to Iowa Code section </w:t>
      </w:r>
      <w:hyperlink r:id="rId13">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The authority reviews all requests for waivers. The authority may request information to assist the review process from the state agency requiring a bond. An applicant for a waiver pursuant to this rule and the agency requiring a bond will be notified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val="false"/>
          <w:color w:val="000000"/>
          <w:sz w:val="22"/>
        </w:rPr>
        <w:t>Waivers will be reviewed and renewed at the time of TSB recertification.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261—52.6</w:t>
      </w:r>
      <w:r>
        <w:rPr>
          <w:rFonts w:ascii="Times New Roman" w:hAnsi="Times New Roman"/>
          <w:b/>
          <w:i w:val="false"/>
          <w:color w:val="000000"/>
          <w:sz w:val="22"/>
        </w:rPr>
        <w:t xml:space="preserve">(15) </w:t>
      </w:r>
      <w:r>
        <w:rPr>
          <w:rFonts w:ascii="Times New Roman" w:hAnsi="Times New Roman"/>
          <w:b/>
          <w:i w:val="false"/>
          <w:color w:val="000000"/>
          <w:sz w:val="22"/>
        </w:rPr>
        <w:t xml:space="preserve">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color w:val="000000"/>
          <w:sz w:val="22"/>
        </w:rPr>
        <w:t xml:space="preserve">TSB directory and purchases. </w:t>
      </w:r>
      <w:r>
        <w:rPr>
          <w:rFonts w:ascii="Times New Roman" w:hAnsi="Times New Roman"/>
          <w:b w:val="false"/>
          <w:i w:val="false"/>
          <w:color w:val="000000"/>
          <w:sz w:val="22"/>
        </w:rPr>
        <w:t>The authority compiles and regularly updates a TSB directory that contains a listing of TSBs that have been certified by the authority. Entities required to make purchases from TSBs pursuant to the Act utilize the directory to identify TSBs for purchases. By certifying a business, the authority does not represent that the business can perform any contract entered into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color w:val="000000"/>
          <w:sz w:val="22"/>
        </w:rPr>
        <w:t xml:space="preserve">Authority administration. </w:t>
      </w:r>
      <w:r>
        <w:rPr>
          <w:rFonts w:ascii="Times New Roman" w:hAnsi="Times New Roman"/>
          <w:b w:val="false"/>
          <w:i w:val="false"/>
          <w:color w:val="000000"/>
          <w:sz w:val="22"/>
        </w:rPr>
        <w:t>The authority may conduct a review of entities subject to the Act where there is evidence of little or no progress toward reaching its established TSB goal. The purpose of the review will be to identify the barriers encountered, evaluate the efforts taken to reach the goal, and provide available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director of each state agency or department shall submit quarterly reports of TSB purchases to the authority in the format and by the due date specified by the authority. Reports provided to the department of education by community colleges, area education agencies, and school districts pursuant to Iowa Code section </w:t>
      </w:r>
      <w:hyperlink r:id="rId14">
        <w:r>
          <w:rPr>
            <w:rStyle w:val="Hyperlink"/>
            <w:rFonts w:ascii="Times New Roman" w:hAnsi="Times New Roman"/>
            <w:b w:val="false"/>
            <w:i w:val="false"/>
            <w:color w:val="000000"/>
            <w:sz w:val="22"/>
          </w:rPr>
          <w:t>73.17(2)</w:t>
        </w:r>
      </w:hyperlink>
      <w:r>
        <w:rPr>
          <w:rFonts w:ascii="Times New Roman" w:hAnsi="Times New Roman"/>
          <w:b w:val="false"/>
          <w:i w:val="false"/>
          <w:color w:val="000000"/>
          <w:sz w:val="22"/>
        </w:rPr>
        <w:t xml:space="preserve"> shall be forwarded to the authority. Pursuant to Iowa Code section </w:t>
      </w:r>
      <w:hyperlink r:id="rId15">
        <w:r>
          <w:rPr>
            <w:rStyle w:val="Hyperlink"/>
            <w:rFonts w:ascii="Times New Roman" w:hAnsi="Times New Roman"/>
            <w:b w:val="false"/>
            <w:i w:val="false"/>
            <w:color w:val="000000"/>
            <w:sz w:val="22"/>
          </w:rPr>
          <w:t>73.17</w:t>
        </w:r>
      </w:hyperlink>
      <w:r>
        <w:rPr>
          <w:rFonts w:ascii="Times New Roman" w:hAnsi="Times New Roman"/>
          <w:b w:val="false"/>
          <w:i w:val="false"/>
          <w:color w:val="000000"/>
          <w:sz w:val="22"/>
        </w:rPr>
        <w:t>, the authority may require modifications from the agencies and departments based on the information reported pursuant to that Iowa Code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 xml:space="preserve">Entities subject to the Act shall develop a recordkeeping system that identifies and assesses TSB contract awards and progress in achieving a TSB goal. Records should demonstrate procedures adopted to comply with Iowa Code chapter </w:t>
      </w:r>
      <w:hyperlink r:id="rId16">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and this chapter and awards to TSBs. Records shall be available upon the request of the authority or the state auditor.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15.108(6)</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subchapter III.</w:t>
      </w:r>
    </w:p>
    <w:p>
      <w:pPr>
        <w:spacing w:before="0" w:after="0"/>
        <w:ind w:left="120"/>
        <w:jc w:val="center"/>
      </w:pPr>
      <w:r>
        <w:rPr>
          <w:rFonts w:ascii="Times New Roman" w:hAnsi="Times New Roman"/>
          <w:b w:val="false"/>
          <w:i w:val="false"/>
          <w:color w:val="000000"/>
          <w:sz w:val="21"/>
        </w:rPr>
        <w:t>[Filed ARC 3582C</w:t>
      </w:r>
      <w:r>
        <w:rPr>
          <w:rFonts w:ascii="Times New Roman" w:hAnsi="Times New Roman"/>
          <w:b w:val="false"/>
          <w:i w:val="false"/>
          <w:color w:val="000000"/>
          <w:sz w:val="21"/>
        </w:rPr>
        <w:t xml:space="preserve"> (Notice ARC 3378C,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5907C</w:t>
      </w:r>
      <w:r>
        <w:rPr>
          <w:rFonts w:ascii="Times New Roman" w:hAnsi="Times New Roman"/>
          <w:b w:val="false"/>
          <w:i w:val="false"/>
          <w:color w:val="000000"/>
          <w:sz w:val="21"/>
        </w:rPr>
        <w:t xml:space="preserve"> (Notice ARC 5622C, IAB 5/19/21)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6794C</w:t>
      </w:r>
      <w:r>
        <w:rPr>
          <w:rFonts w:ascii="Times New Roman" w:hAnsi="Times New Roman"/>
          <w:b w:val="false"/>
          <w:i w:val="false"/>
          <w:color w:val="000000"/>
          <w:sz w:val="21"/>
        </w:rPr>
        <w:t xml:space="preserve"> (Notice ARC 6594C,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8259C</w:t>
      </w:r>
      <w:r>
        <w:rPr>
          <w:rFonts w:ascii="Times New Roman" w:hAnsi="Times New Roman"/>
          <w:b w:val="false"/>
          <w:i w:val="false"/>
          <w:color w:val="000000"/>
          <w:sz w:val="21"/>
        </w:rPr>
        <w:t xml:space="preserve"> (Notice ARC 8144C, IAB 7/24/24)</w:t>
      </w:r>
      <w:r>
        <w:rPr>
          <w:rFonts w:ascii="Times New Roman" w:hAnsi="Times New Roman"/>
          <w:b w:val="false"/>
          <w:i w:val="false"/>
          <w:color w:val="000000"/>
          <w:sz w:val="21"/>
        </w:rPr>
        <w:t>, IAB 10/16/24, effective 11/20/24]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co/chapter/15.102.pdf" Type="http://schemas.openxmlformats.org/officeDocument/2006/relationships/hyperlink" Id="rId8"/>
    <Relationship TargetMode="External" Target="https://www.legis.iowa.gov/docs/iac/chapter/261.54.pdf" Type="http://schemas.openxmlformats.org/officeDocument/2006/relationships/hyperlink" Id="rId9"/>
    <Relationship TargetMode="External" Target="https://www.legis.iowa.gov/docs/ico/chapter/15.102.pdf" Type="http://schemas.openxmlformats.org/officeDocument/2006/relationships/hyperlink" Id="rId10"/>
    <Relationship TargetMode="External" Target="https://www.legis.iowa.gov/docs/ico/chapter/15.102.pdf" Type="http://schemas.openxmlformats.org/officeDocument/2006/relationships/hyperlink" Id="rId11"/>
    <Relationship TargetMode="External" Target="https://www.legis.iowa.gov/docs/ico/chapter/12.44.pdf" Type="http://schemas.openxmlformats.org/officeDocument/2006/relationships/hyperlink" Id="rId12"/>
    <Relationship TargetMode="External" Target="https://www.legis.iowa.gov/docs/ico/chapter/12.44.pdf" Type="http://schemas.openxmlformats.org/officeDocument/2006/relationships/hyperlink" Id="rId13"/>
    <Relationship TargetMode="External" Target="https://www.legis.iowa.gov/docs/ico/chapter/73.17.pdf" Type="http://schemas.openxmlformats.org/officeDocument/2006/relationships/hyperlink" Id="rId14"/>
    <Relationship TargetMode="External" Target="https://www.legis.iowa.gov/docs/ico/chapter/73.17.pdf" Type="http://schemas.openxmlformats.org/officeDocument/2006/relationships/hyperlink" Id="rId15"/>
    <Relationship TargetMode="External" Target="https://www.legis.iowa.gov/docs/ico/chapter/73.pdf" Type="http://schemas.openxmlformats.org/officeDocument/2006/relationships/hyperlink" Id="rId16"/>
    <Relationship TargetMode="External" Target="https://www.legis.iowa.gov/docs/ico/chapter/12.44.pdf" Type="http://schemas.openxmlformats.org/officeDocument/2006/relationships/hyperlink" Id="rId17"/>
    <Relationship TargetMode="External" Target="https://www.legis.iowa.gov/docs/ico/chapter/15.108.pdf" Type="http://schemas.openxmlformats.org/officeDocument/2006/relationships/hyperlink" Id="rId18"/>
    <Relationship TargetMode="External" Target="https://www.legis.iowa.gov/docs/ico/chapter/7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