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51</w:t>
      </w:r>
    </w:p>
    <w:p>
      <w:pPr>
        <w:spacing w:before="0" w:after="0"/>
        <w:ind w:left="120"/>
        <w:jc w:val="center"/>
      </w:pPr>
      <w:r>
        <w:rPr>
          <w:rFonts w:ascii="Times New Roman" w:hAnsi="Times New Roman"/>
          <w:b w:val="false"/>
          <w:i w:val="false"/>
          <w:color w:val="000000"/>
          <w:sz w:val="21"/>
        </w:rPr>
        <w:t>BUTCHERY INNOVATION AND REVITALIZATION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261—51.1</w:t>
      </w:r>
      <w:r>
        <w:rPr>
          <w:rFonts w:ascii="Times New Roman" w:hAnsi="Times New Roman"/>
          <w:b/>
          <w:i w:val="false"/>
          <w:color w:val="000000"/>
          <w:sz w:val="22"/>
        </w:rPr>
        <w:t xml:space="preserve">(15E)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Pursuant to Iowa Code section </w:t>
      </w:r>
      <w:hyperlink r:id="rId5">
        <w:r>
          <w:rPr>
            <w:rStyle w:val="Hyperlink"/>
            <w:rFonts w:ascii="Times New Roman" w:hAnsi="Times New Roman"/>
            <w:b w:val="false"/>
            <w:i w:val="false"/>
            <w:color w:val="000000"/>
            <w:sz w:val="22"/>
          </w:rPr>
          <w:t>15E.370</w:t>
        </w:r>
      </w:hyperlink>
      <w:r>
        <w:rPr>
          <w:rFonts w:ascii="Times New Roman" w:hAnsi="Times New Roman"/>
          <w:b w:val="false"/>
          <w:i w:val="false"/>
          <w:color w:val="000000"/>
          <w:sz w:val="22"/>
        </w:rPr>
        <w:t>, the authority is authorized to provide financial assistance to businesses for projects relating to butchery innovation and revitalization as identified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5971C</w:t>
      </w:r>
      <w:r>
        <w:rPr>
          <w:rFonts w:ascii="Times New Roman" w:hAnsi="Times New Roman"/>
          <w:b w:val="false"/>
          <w:i w:val="false"/>
          <w:color w:val="000000"/>
          <w:sz w:val="16"/>
        </w:rPr>
        <w:t>, IAB 10/6/21, effective 9/17/21</w:t>
      </w:r>
      <w:r>
        <w:rPr>
          <w:rFonts w:ascii="Times New Roman" w:hAnsi="Times New Roman"/>
          <w:b w:val="false"/>
          <w:i w:val="false"/>
          <w:color w:val="000000"/>
          <w:sz w:val="16"/>
        </w:rPr>
        <w:t xml:space="preserve">; </w:t>
      </w:r>
      <w:r>
        <w:rPr>
          <w:rFonts w:ascii="Times New Roman" w:hAnsi="Times New Roman"/>
          <w:b/>
          <w:i w:val="false"/>
          <w:color w:val="000000"/>
          <w:sz w:val="16"/>
        </w:rPr>
        <w:t>ARC 6638C</w:t>
      </w:r>
      <w:r>
        <w:rPr>
          <w:rFonts w:ascii="Times New Roman" w:hAnsi="Times New Roman"/>
          <w:b w:val="false"/>
          <w:i w:val="false"/>
          <w:color w:val="000000"/>
          <w:sz w:val="16"/>
        </w:rPr>
        <w:t>, IAB 11/16/22, effective 10/21/22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261—51.2</w:t>
      </w:r>
      <w:r>
        <w:rPr>
          <w:rFonts w:ascii="Times New Roman" w:hAnsi="Times New Roman"/>
          <w:b/>
          <w:i w:val="false"/>
          <w:color w:val="000000"/>
          <w:sz w:val="22"/>
        </w:rPr>
        <w:t xml:space="preserve">(15E)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means a contract for financial assistance under the program describing the terms on which the financial assistance is to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business applying for assistance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6">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“Authority’s website” </w:t>
      </w:r>
      <w:r>
        <w:rPr>
          <w:rFonts w:ascii="Times New Roman" w:hAnsi="Times New Roman"/>
          <w:b w:val="false"/>
          <w:i w:val="false"/>
          <w:color w:val="000000"/>
          <w:sz w:val="22"/>
        </w:rPr>
        <w:t xml:space="preserve">means the information and related content found at </w:t>
      </w:r>
      <w:hyperlink r:id="rId7">
        <w:r>
          <w:rPr>
            <w:rStyle w:val="Hyperlink"/>
            <w:rFonts w:ascii="Times New Roman" w:hAnsi="Times New Roman"/>
            <w:b w:val="false"/>
            <w:i w:val="false"/>
            <w:color w:val="000000"/>
            <w:sz w:val="22"/>
            <w:u w:val="single"/>
          </w:rPr>
          <w:t>www.iowaeda.com</w:t>
        </w:r>
      </w:hyperlink>
      <w:r>
        <w:rPr>
          <w:rFonts w:ascii="Times New Roman" w:hAnsi="Times New Roman"/>
          <w:b w:val="false"/>
          <w:i w:val="false"/>
          <w:color w:val="000000"/>
          <w:sz w:val="22"/>
        </w:rPr>
        <w:t xml:space="preserve"> and may include integrated content at affiliate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members of the economic development authority appointed by the governor and in whom the powers of the authority are vested pursuant to Iowa Code section </w:t>
      </w:r>
      <w:hyperlink r:id="rId8">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“Business” </w:t>
      </w:r>
      <w:r>
        <w:rPr>
          <w:rFonts w:ascii="Times New Roman" w:hAnsi="Times New Roman"/>
          <w:b w:val="false"/>
          <w:i w:val="false"/>
          <w:color w:val="000000"/>
          <w:sz w:val="22"/>
        </w:rPr>
        <w:t>means a sole proprietorship, partnership, corporation, or other business entity organized for profit under the laws of the state of Iowa or another state, under federal statutes, or under the laws of another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“CIRAS” </w:t>
      </w:r>
      <w:r>
        <w:rPr>
          <w:rFonts w:ascii="Times New Roman" w:hAnsi="Times New Roman"/>
          <w:b w:val="false"/>
          <w:i w:val="false"/>
          <w:color w:val="000000"/>
          <w:sz w:val="22"/>
        </w:rPr>
        <w:t>means the center for industrial research and service at Iowa state university of science and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“Committee” </w:t>
      </w:r>
      <w:r>
        <w:rPr>
          <w:rFonts w:ascii="Times New Roman" w:hAnsi="Times New Roman"/>
          <w:b w:val="false"/>
          <w:i w:val="false"/>
          <w:color w:val="000000"/>
          <w:sz w:val="22"/>
        </w:rPr>
        <w:t xml:space="preserve">means the committee of application reviewers appointed by the director and the secretary pursuant to </w:t>
      </w:r>
      <w:hyperlink r:id="rId9">
        <w:r>
          <w:rPr>
            <w:rStyle w:val="Hyperlink"/>
            <w:rFonts w:ascii="Times New Roman" w:hAnsi="Times New Roman"/>
            <w:b w:val="false"/>
            <w:i w:val="false"/>
            <w:color w:val="000000"/>
            <w:sz w:val="22"/>
          </w:rPr>
          <w:t>subrule 51.5(1)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agriculture and land stewardship.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“Establishment”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189A.2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grant of inspection” </w:t>
      </w:r>
      <w:r>
        <w:rPr>
          <w:rFonts w:ascii="Times New Roman" w:hAnsi="Times New Roman"/>
          <w:b w:val="false"/>
          <w:i w:val="false"/>
          <w:color w:val="000000"/>
          <w:sz w:val="22"/>
        </w:rPr>
        <w:t>means a certification issued by the Food Safety and Inspection Service certifying that an establishment is in compliance with the applicable requirements of 9 Code of Federal Regulations Chapter III and has been granted daily inspection services by FSIS.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assistance” </w:t>
      </w:r>
      <w:r>
        <w:rPr>
          <w:rFonts w:ascii="Times New Roman" w:hAnsi="Times New Roman"/>
          <w:b w:val="false"/>
          <w:i w:val="false"/>
          <w:color w:val="000000"/>
          <w:sz w:val="22"/>
        </w:rPr>
        <w:t xml:space="preserve">means assistance provided only from the funds and assets legally available to the authority pursuant to Iowa Code section </w:t>
      </w:r>
      <w:hyperlink r:id="rId11">
        <w:r>
          <w:rPr>
            <w:rStyle w:val="Hyperlink"/>
            <w:rFonts w:ascii="Times New Roman" w:hAnsi="Times New Roman"/>
            <w:b w:val="false"/>
            <w:i w:val="false"/>
            <w:color w:val="000000"/>
            <w:sz w:val="22"/>
          </w:rPr>
          <w:t>15.370</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2021 Iowa Acts, House File 857</w:t>
      </w:r>
      <w:r>
        <w:rPr>
          <w:rFonts w:ascii="Times New Roman" w:hAnsi="Times New Roman"/>
          <w:b w:val="false"/>
          <w:i w:val="false"/>
          <w:color w:val="000000"/>
          <w:sz w:val="22"/>
        </w:rPr>
        <w:t>, section 1, and includes assistance in the form of grants, low-interest loans, and forgivable loans.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“Food Safety and Inspection Service”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“FSIS” </w:t>
      </w:r>
      <w:r>
        <w:rPr>
          <w:rFonts w:ascii="Times New Roman" w:hAnsi="Times New Roman"/>
          <w:b w:val="false"/>
          <w:i w:val="false"/>
          <w:color w:val="000000"/>
          <w:sz w:val="22"/>
        </w:rPr>
        <w:t xml:space="preserve">means the agency of the United States Department of Agriculture which regulates establishments.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“Grant” </w:t>
      </w:r>
      <w:r>
        <w:rPr>
          <w:rFonts w:ascii="Times New Roman" w:hAnsi="Times New Roman"/>
          <w:b w:val="false"/>
          <w:i w:val="false"/>
          <w:color w:val="000000"/>
          <w:sz w:val="22"/>
        </w:rPr>
        <w:t>means an award of assistance with the expectation that, with the fulfillment of the conditions, terms and obligations of the contract with the authority for the project, repayment of funds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butchery innovation and revitalization program established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w:t>
      </w:r>
      <w:r>
        <w:rPr>
          <w:rFonts w:ascii="Times New Roman" w:hAnsi="Times New Roman"/>
          <w:b w:val="false"/>
          <w:i w:val="false"/>
          <w:color w:val="000000"/>
          <w:sz w:val="22"/>
        </w:rPr>
        <w:t>means an activity or activities undertaken by the applicant to be carried out at an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“Secretary” </w:t>
      </w:r>
      <w:r>
        <w:rPr>
          <w:rFonts w:ascii="Times New Roman" w:hAnsi="Times New Roman"/>
          <w:b w:val="false"/>
          <w:i w:val="false"/>
          <w:color w:val="000000"/>
          <w:sz w:val="22"/>
        </w:rPr>
        <w:t>means the secretary of agriculture, who is the head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grant of inspection” </w:t>
      </w:r>
      <w:r>
        <w:rPr>
          <w:rFonts w:ascii="Times New Roman" w:hAnsi="Times New Roman"/>
          <w:b w:val="false"/>
          <w:i w:val="false"/>
          <w:color w:val="000000"/>
          <w:sz w:val="22"/>
        </w:rPr>
        <w:t xml:space="preserve">means a certification issued by the department certifying that an establishment is in compliance with the applicable requirements of </w:t>
      </w:r>
      <w:hyperlink r:id="rId12">
        <w:r>
          <w:rPr>
            <w:rStyle w:val="Hyperlink"/>
            <w:rFonts w:ascii="Times New Roman" w:hAnsi="Times New Roman"/>
            <w:b w:val="false"/>
            <w:i w:val="false"/>
            <w:color w:val="000000"/>
            <w:sz w:val="22"/>
          </w:rPr>
          <w:t>21—Chapter 76</w:t>
        </w:r>
      </w:hyperlink>
      <w:r>
        <w:rPr>
          <w:rFonts w:ascii="Times New Roman" w:hAnsi="Times New Roman"/>
          <w:b w:val="false"/>
          <w:i w:val="false"/>
          <w:color w:val="000000"/>
          <w:sz w:val="22"/>
        </w:rPr>
        <w:t xml:space="preserve"> and has been granted daily inspection services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5971C</w:t>
      </w:r>
      <w:r>
        <w:rPr>
          <w:rFonts w:ascii="Times New Roman" w:hAnsi="Times New Roman"/>
          <w:b w:val="false"/>
          <w:i w:val="false"/>
          <w:color w:val="000000"/>
          <w:sz w:val="16"/>
        </w:rPr>
        <w:t>, IAB 10/6/21, effective 9/17/21</w:t>
      </w:r>
      <w:r>
        <w:rPr>
          <w:rFonts w:ascii="Times New Roman" w:hAnsi="Times New Roman"/>
          <w:b w:val="false"/>
          <w:i w:val="false"/>
          <w:color w:val="000000"/>
          <w:sz w:val="16"/>
        </w:rPr>
        <w:t xml:space="preserve">; </w:t>
      </w:r>
      <w:r>
        <w:rPr>
          <w:rFonts w:ascii="Times New Roman" w:hAnsi="Times New Roman"/>
          <w:b/>
          <w:i w:val="false"/>
          <w:color w:val="000000"/>
          <w:sz w:val="16"/>
        </w:rPr>
        <w:t>ARC 6638C</w:t>
      </w:r>
      <w:r>
        <w:rPr>
          <w:rFonts w:ascii="Times New Roman" w:hAnsi="Times New Roman"/>
          <w:b w:val="false"/>
          <w:i w:val="false"/>
          <w:color w:val="000000"/>
          <w:sz w:val="16"/>
        </w:rPr>
        <w:t>, IAB 11/16/22, effective 10/21/22</w:t>
      </w:r>
      <w:r>
        <w:rPr>
          <w:rFonts w:ascii="Times New Roman" w:hAnsi="Times New Roman"/>
          <w:b w:val="false"/>
          <w:i w:val="false"/>
          <w:color w:val="000000"/>
          <w:sz w:val="16"/>
        </w:rPr>
        <w:t xml:space="preserve">; </w:t>
      </w:r>
      <w:r>
        <w:rPr>
          <w:rFonts w:ascii="Times New Roman" w:hAnsi="Times New Roman"/>
          <w:b/>
          <w:i w:val="false"/>
          <w:color w:val="000000"/>
          <w:sz w:val="16"/>
        </w:rPr>
        <w:t>ARC 7122C</w:t>
      </w:r>
      <w:r>
        <w:rPr>
          <w:rFonts w:ascii="Times New Roman" w:hAnsi="Times New Roman"/>
          <w:b w:val="false"/>
          <w:i w:val="false"/>
          <w:color w:val="000000"/>
          <w:sz w:val="16"/>
        </w:rPr>
        <w:t>, IAB 11/15/23, effective 12/20/23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261—51.3</w:t>
      </w:r>
      <w:r>
        <w:rPr>
          <w:rFonts w:ascii="Times New Roman" w:hAnsi="Times New Roman"/>
          <w:b/>
          <w:i w:val="false"/>
          <w:color w:val="000000"/>
          <w:sz w:val="22"/>
        </w:rPr>
        <w:t xml:space="preserve">(15E) </w:t>
      </w:r>
      <w:r>
        <w:rPr>
          <w:rFonts w:ascii="Times New Roman" w:hAnsi="Times New Roman"/>
          <w:b/>
          <w:i w:val="false"/>
          <w:color w:val="000000"/>
          <w:sz w:val="22"/>
        </w:rPr>
        <w:t xml:space="preserve">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51.3(1)</w:t>
      </w:r>
      <w:r>
        <w:rPr>
          <w:rFonts w:ascii="Times New Roman" w:hAnsi="Times New Roman"/>
          <w:b w:val="false"/>
          <w:i w:val="false"/>
          <w:color w:val="000000"/>
          <w:sz w:val="22"/>
        </w:rPr>
        <w:t> </w:t>
      </w:r>
      <w:r>
        <w:rPr>
          <w:rFonts w:ascii="Times New Roman" w:hAnsi="Times New Roman"/>
          <w:b w:val="false"/>
          <w:i/>
          <w:color w:val="000000"/>
          <w:sz w:val="22"/>
        </w:rPr>
        <w:t xml:space="preserve">Eligible businesses. </w:t>
      </w:r>
      <w:r>
        <w:rPr>
          <w:rFonts w:ascii="Times New Roman" w:hAnsi="Times New Roman"/>
          <w:b w:val="false"/>
          <w:i w:val="false"/>
          <w:color w:val="000000"/>
          <w:sz w:val="22"/>
        </w:rPr>
        <w:t xml:space="preserve">To be eligible for a grant under the program, an applicant shall meet all of the eligibility requirements in Iowa Code section </w:t>
      </w:r>
      <w:hyperlink r:id="rId13">
        <w:r>
          <w:rPr>
            <w:rStyle w:val="Hyperlink"/>
            <w:rFonts w:ascii="Times New Roman" w:hAnsi="Times New Roman"/>
            <w:b w:val="false"/>
            <w:i w:val="false"/>
            <w:color w:val="000000"/>
            <w:sz w:val="22"/>
          </w:rPr>
          <w:t>15E.370(4)</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2023 Iowa Acts, House File 185</w:t>
      </w:r>
      <w:r>
        <w:rPr>
          <w:rFonts w:ascii="Times New Roman" w:hAnsi="Times New Roman"/>
          <w:b w:val="false"/>
          <w:i w:val="false"/>
          <w:color w:val="000000"/>
          <w:sz w:val="22"/>
        </w:rPr>
        <w:t>, in addition to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business must be incorporated or organized in Iowa or authorized to do business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business must be an establishment that holds a current license from the department in accordance with the requirements of Iowa Code chapter </w:t>
      </w:r>
      <w:hyperlink r:id="rId14">
        <w:r>
          <w:rPr>
            <w:rStyle w:val="Hyperlink"/>
            <w:rFonts w:ascii="Times New Roman" w:hAnsi="Times New Roman"/>
            <w:b w:val="false"/>
            <w:i w:val="false"/>
            <w:color w:val="000000"/>
            <w:sz w:val="22"/>
          </w:rPr>
          <w:t>189A</w:t>
        </w:r>
      </w:hyperlink>
      <w:r>
        <w:rPr>
          <w:rFonts w:ascii="Times New Roman" w:hAnsi="Times New Roman"/>
          <w:b w:val="false"/>
          <w:i w:val="false"/>
          <w:color w:val="000000"/>
          <w:sz w:val="22"/>
        </w:rPr>
        <w:t xml:space="preserve"> or is actively working with the department to obtain a license. Factors the authority may consider in determining whether a business is actively working with the department to obtain a license include, but are not limited to, the number and frequency of contacts the business has had with the department, whether the business has submitted an application for inspection to the department or FSIS, and whether the department or FSIS has conducted a site visit at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must have an assessment of the applicant’s proposed investment completed by CIRAS prior to submission of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51.3(2)</w:t>
      </w:r>
      <w:r>
        <w:rPr>
          <w:rFonts w:ascii="Times New Roman" w:hAnsi="Times New Roman"/>
          <w:b w:val="false"/>
          <w:i w:val="false"/>
          <w:color w:val="000000"/>
          <w:sz w:val="22"/>
        </w:rPr>
        <w:t> </w:t>
      </w:r>
      <w:r>
        <w:rPr>
          <w:rFonts w:ascii="Times New Roman" w:hAnsi="Times New Roman"/>
          <w:b w:val="false"/>
          <w:i/>
          <w:color w:val="000000"/>
          <w:sz w:val="22"/>
        </w:rPr>
        <w:t xml:space="preserve">Regulatory enforcement actions. </w:t>
      </w:r>
      <w:r>
        <w:rPr>
          <w:rFonts w:ascii="Times New Roman" w:hAnsi="Times New Roman"/>
          <w:b w:val="false"/>
          <w:i w:val="false"/>
          <w:color w:val="000000"/>
          <w:sz w:val="22"/>
        </w:rPr>
        <w:t xml:space="preserve">For the purposes of determining whether a business is ineligible for the program because the business has been subject to any regulatory enforcement action in the last five years pursuant to Iowa Code section </w:t>
      </w:r>
      <w:hyperlink r:id="rId15">
        <w:r>
          <w:rPr>
            <w:rStyle w:val="Hyperlink"/>
            <w:rFonts w:ascii="Times New Roman" w:hAnsi="Times New Roman"/>
            <w:b w:val="false"/>
            <w:i w:val="false"/>
            <w:color w:val="000000"/>
            <w:sz w:val="22"/>
          </w:rPr>
          <w:t>15E.370</w:t>
        </w:r>
      </w:hyperlink>
      <w:r>
        <w:rPr>
          <w:rFonts w:ascii="Times New Roman" w:hAnsi="Times New Roman"/>
          <w:b w:val="false"/>
          <w:i w:val="false"/>
          <w:color w:val="000000"/>
          <w:sz w:val="22"/>
        </w:rPr>
        <w:t>(4)</w:t>
      </w:r>
      <w:r>
        <w:rPr>
          <w:rFonts w:ascii="Times New Roman" w:hAnsi="Times New Roman"/>
          <w:b w:val="false"/>
          <w:i/>
          <w:color w:val="000000"/>
          <w:sz w:val="22"/>
        </w:rPr>
        <w:t>“b,”</w:t>
      </w:r>
      <w:r>
        <w:rPr>
          <w:rFonts w:ascii="Times New Roman" w:hAnsi="Times New Roman"/>
          <w:b w:val="false"/>
          <w:i w:val="false"/>
          <w:color w:val="000000"/>
          <w:sz w:val="22"/>
        </w:rPr>
        <w:t xml:space="preserve"> regulatory enforcement actions include, but are not limited to, an administrative order, consent order or similar formal order issued by an applicable enforcement agency or an involuntary withdrawal of a state grant of inspection or federal grant of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51.3(3)</w:t>
      </w:r>
      <w:r>
        <w:rPr>
          <w:rFonts w:ascii="Times New Roman" w:hAnsi="Times New Roman"/>
          <w:b w:val="false"/>
          <w:i w:val="false"/>
          <w:color w:val="000000"/>
          <w:sz w:val="22"/>
        </w:rPr>
        <w:t> </w:t>
      </w:r>
      <w:r>
        <w:rPr>
          <w:rFonts w:ascii="Times New Roman" w:hAnsi="Times New Roman"/>
          <w:b w:val="false"/>
          <w:i/>
          <w:color w:val="000000"/>
          <w:sz w:val="22"/>
        </w:rPr>
        <w:t xml:space="preserve">Eligible projects. </w:t>
      </w:r>
      <w:r>
        <w:rPr>
          <w:rFonts w:ascii="Times New Roman" w:hAnsi="Times New Roman"/>
          <w:b w:val="false"/>
          <w:i w:val="false"/>
          <w:color w:val="000000"/>
          <w:sz w:val="22"/>
        </w:rPr>
        <w:t xml:space="preserve">The applicant must propose an eligible project as described in Iowa Code section </w:t>
      </w:r>
      <w:hyperlink r:id="rId16">
        <w:r>
          <w:rPr>
            <w:rStyle w:val="Hyperlink"/>
            <w:rFonts w:ascii="Times New Roman" w:hAnsi="Times New Roman"/>
            <w:b w:val="false"/>
            <w:i w:val="false"/>
            <w:color w:val="000000"/>
            <w:sz w:val="22"/>
          </w:rPr>
          <w:t>15E.370</w:t>
        </w:r>
      </w:hyperlink>
      <w:r>
        <w:rPr>
          <w:rFonts w:ascii="Times New Roman" w:hAnsi="Times New Roman"/>
          <w:b w:val="false"/>
          <w:i w:val="false"/>
          <w:color w:val="000000"/>
          <w:sz w:val="22"/>
        </w:rPr>
        <w:t>(3).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subrule, a state-inspected small-scale meat processing business is an establishment that has been issued a state grant of inspection and meets the eligible business criteria in subrule </w:t>
      </w:r>
      <w:hyperlink r:id="rId17">
        <w:r>
          <w:rPr>
            <w:rStyle w:val="Hyperlink"/>
            <w:rFonts w:ascii="Times New Roman" w:hAnsi="Times New Roman"/>
            <w:b w:val="false"/>
            <w:i w:val="false"/>
            <w:color w:val="000000"/>
            <w:sz w:val="22"/>
          </w:rPr>
          <w:t>51.3</w:t>
        </w:r>
      </w:hyperlink>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subrule, a federally inspected small-scale meat processing business is an establishment that has been issued a federal grant of inspection and meets eligible business criteria in subrule </w:t>
      </w:r>
      <w:hyperlink r:id="rId18">
        <w:r>
          <w:rPr>
            <w:rStyle w:val="Hyperlink"/>
            <w:rFonts w:ascii="Times New Roman" w:hAnsi="Times New Roman"/>
            <w:b w:val="false"/>
            <w:i w:val="false"/>
            <w:color w:val="000000"/>
            <w:sz w:val="22"/>
          </w:rPr>
          <w:t>51.3</w:t>
        </w:r>
      </w:hyperlink>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subrule, a licensed custom locker is an establishment that slaughters or prepares livestock exclusively for use by the owners of the livestock, members of their household, and their nonpaying guests and employees, that is periodically inspected by the department, and that meets the eligible business criteria in subrule </w:t>
      </w:r>
      <w:hyperlink r:id="rId19">
        <w:r>
          <w:rPr>
            <w:rStyle w:val="Hyperlink"/>
            <w:rFonts w:ascii="Times New Roman" w:hAnsi="Times New Roman"/>
            <w:b w:val="false"/>
            <w:i w:val="false"/>
            <w:color w:val="000000"/>
            <w:sz w:val="22"/>
          </w:rPr>
          <w:t>51.3</w:t>
        </w:r>
      </w:hyperlink>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subrule, a mobile slaughter unit is a self-contained slaughter establishment that can travel from site to site; that operates in compliance with applicable laws, regulations, and the most current mobile slaughter unit compliance guide issued by FSIS; and that meets the eligible business criteria in subrule </w:t>
      </w:r>
      <w:hyperlink r:id="rId20">
        <w:r>
          <w:rPr>
            <w:rStyle w:val="Hyperlink"/>
            <w:rFonts w:ascii="Times New Roman" w:hAnsi="Times New Roman"/>
            <w:b w:val="false"/>
            <w:i w:val="false"/>
            <w:color w:val="000000"/>
            <w:sz w:val="22"/>
          </w:rPr>
          <w:t>51.3</w:t>
        </w:r>
      </w:hyperlink>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51.3(4)</w:t>
      </w:r>
      <w:r>
        <w:rPr>
          <w:rFonts w:ascii="Times New Roman" w:hAnsi="Times New Roman"/>
          <w:b w:val="false"/>
          <w:i w:val="false"/>
          <w:color w:val="000000"/>
          <w:sz w:val="22"/>
        </w:rPr>
        <w:t> </w:t>
      </w:r>
      <w:r>
        <w:rPr>
          <w:rFonts w:ascii="Times New Roman" w:hAnsi="Times New Roman"/>
          <w:b w:val="false"/>
          <w:i/>
          <w:color w:val="000000"/>
          <w:sz w:val="22"/>
        </w:rPr>
        <w:t xml:space="preserve">Eligible and ineligible project costs.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Eligible costs include, but are not limited to, land acquisition, site preparation, building acquisition, building construction, building remodeling, lease payments, machinery and equipment, and computer hardware or software associated with new machinery and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Ineligible costs include, but are not limited to, ongoing training costs, operational costs, and costs incurred for facilities located outside the state of Iowa. Training costs specific to new investment in machinery and equipment may be considered eligible in the discretion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51.3(5)</w:t>
      </w:r>
      <w:r>
        <w:rPr>
          <w:rFonts w:ascii="Times New Roman" w:hAnsi="Times New Roman"/>
          <w:b w:val="false"/>
          <w:i w:val="false"/>
          <w:color w:val="000000"/>
          <w:sz w:val="22"/>
        </w:rPr>
        <w:t> </w:t>
      </w:r>
      <w:r>
        <w:rPr>
          <w:rFonts w:ascii="Times New Roman" w:hAnsi="Times New Roman"/>
          <w:b w:val="false"/>
          <w:i/>
          <w:color w:val="000000"/>
          <w:sz w:val="22"/>
        </w:rPr>
        <w:t xml:space="preserve">Matching support required. </w:t>
      </w:r>
      <w:r>
        <w:rPr>
          <w:rFonts w:ascii="Times New Roman" w:hAnsi="Times New Roman"/>
          <w:b w:val="false"/>
          <w:i w:val="false"/>
          <w:color w:val="000000"/>
          <w:sz w:val="22"/>
        </w:rPr>
        <w:t>The applicant shall demonstrate the ability to provide matching financial support for the project on a one-to-one basis in the form of cash. The matching financial support must be obtained from private 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51.3(6)</w:t>
      </w:r>
      <w:r>
        <w:rPr>
          <w:rFonts w:ascii="Times New Roman" w:hAnsi="Times New Roman"/>
          <w:b w:val="false"/>
          <w:i w:val="false"/>
          <w:color w:val="000000"/>
          <w:sz w:val="22"/>
        </w:rPr>
        <w:t> </w:t>
      </w:r>
      <w:r>
        <w:rPr>
          <w:rFonts w:ascii="Times New Roman" w:hAnsi="Times New Roman"/>
          <w:b w:val="false"/>
          <w:i/>
          <w:color w:val="000000"/>
          <w:sz w:val="22"/>
        </w:rPr>
        <w:t xml:space="preserve">Receipt of multiple grants. </w:t>
      </w:r>
      <w:r>
        <w:rPr>
          <w:rFonts w:ascii="Times New Roman" w:hAnsi="Times New Roman"/>
          <w:b w:val="false"/>
          <w:i w:val="false"/>
          <w:color w:val="000000"/>
          <w:sz w:val="22"/>
        </w:rPr>
        <w:t>An applicant that has previously received a grant from the program shall not be eligible to apply for additional grants from the program during the three state fiscal years following approval of the previous grant. For example, an applicant that was approved for a grant on February 16, 2023 (fiscal year 2023), would be eligible to apply for an additional grant on or after July 1, 2026 (fiscal year 2027). An applicant that has previously received a grant from the program shall not be eligible to apply for additional grants from the program until any prior program agreements have been satisfied.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7122C</w:t>
      </w:r>
      <w:r>
        <w:rPr>
          <w:rFonts w:ascii="Times New Roman" w:hAnsi="Times New Roman"/>
          <w:b w:val="false"/>
          <w:i w:val="false"/>
          <w:color w:val="000000"/>
          <w:sz w:val="16"/>
        </w:rPr>
        <w:t>, IAB 11/15/23, effective 12/20/23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261—51.4</w:t>
      </w:r>
      <w:r>
        <w:rPr>
          <w:rFonts w:ascii="Times New Roman" w:hAnsi="Times New Roman"/>
          <w:b/>
          <w:i w:val="false"/>
          <w:color w:val="000000"/>
          <w:sz w:val="22"/>
        </w:rPr>
        <w:t xml:space="preserve">(15E) </w:t>
      </w:r>
      <w:r>
        <w:rPr>
          <w:rFonts w:ascii="Times New Roman" w:hAnsi="Times New Roman"/>
          <w:b/>
          <w:i w:val="false"/>
          <w:color w:val="000000"/>
          <w:sz w:val="22"/>
        </w:rPr>
        <w:t xml:space="preserve">Application submittal and review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will develop a standardized application process and make information on applying available on the authority’s website. To apply for assistance under the program, an eligible business shall submit an application to the authority in the form and manner prescribed by the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51.4(2)</w:t>
      </w:r>
      <w:r>
        <w:rPr>
          <w:rFonts w:ascii="Times New Roman" w:hAnsi="Times New Roman"/>
          <w:b w:val="false"/>
          <w:i w:val="false"/>
          <w:color w:val="000000"/>
          <w:sz w:val="22"/>
        </w:rPr>
        <w:t> </w:t>
      </w:r>
      <w:r>
        <w:rPr>
          <w:rFonts w:ascii="Times New Roman" w:hAnsi="Times New Roman"/>
          <w:b w:val="false"/>
          <w:i w:val="false"/>
          <w:color w:val="000000"/>
          <w:sz w:val="22"/>
        </w:rPr>
        <w:t>Applications will be accepted only during established application periods as announced on the authority’s website. Applications will be reviewed in the order received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51.4(3)</w:t>
      </w:r>
      <w:r>
        <w:rPr>
          <w:rFonts w:ascii="Times New Roman" w:hAnsi="Times New Roman"/>
          <w:b w:val="false"/>
          <w:i w:val="false"/>
          <w:color w:val="000000"/>
          <w:sz w:val="22"/>
        </w:rPr>
        <w:t> </w:t>
      </w:r>
      <w:r>
        <w:rPr>
          <w:rFonts w:ascii="Times New Roman" w:hAnsi="Times New Roman"/>
          <w:b w:val="false"/>
          <w:i w:val="false"/>
          <w:color w:val="000000"/>
          <w:sz w:val="22"/>
        </w:rPr>
        <w:t>The authority may refuse to accept incomplete applications or may refuse to accept applications because of insufficient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51.4(4)</w:t>
      </w:r>
      <w:r>
        <w:rPr>
          <w:rFonts w:ascii="Times New Roman" w:hAnsi="Times New Roman"/>
          <w:b w:val="false"/>
          <w:i w:val="false"/>
          <w:color w:val="000000"/>
          <w:sz w:val="22"/>
        </w:rPr>
        <w:t> </w:t>
      </w:r>
      <w:r>
        <w:rPr>
          <w:rFonts w:ascii="Times New Roman" w:hAnsi="Times New Roman"/>
          <w:b w:val="false"/>
          <w:i w:val="false"/>
          <w:color w:val="000000"/>
          <w:sz w:val="22"/>
        </w:rPr>
        <w:t xml:space="preserve">A scoring committee will consider, evaluate, and recommend applications for financial assistance under the program. The committee will review applications for financial assistance and score the applications according to the criteria described in </w:t>
      </w:r>
      <w:hyperlink r:id="rId21">
        <w:r>
          <w:rPr>
            <w:rStyle w:val="Hyperlink"/>
            <w:rFonts w:ascii="Times New Roman" w:hAnsi="Times New Roman"/>
            <w:b w:val="false"/>
            <w:i w:val="false"/>
            <w:color w:val="000000"/>
            <w:sz w:val="22"/>
          </w:rPr>
          <w:t>subrule 51.5(2)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51.4(5)</w:t>
      </w:r>
      <w:r>
        <w:rPr>
          <w:rFonts w:ascii="Times New Roman" w:hAnsi="Times New Roman"/>
          <w:b w:val="false"/>
          <w:i w:val="false"/>
          <w:color w:val="000000"/>
          <w:sz w:val="22"/>
        </w:rPr>
        <w:t> </w:t>
      </w:r>
      <w:r>
        <w:rPr>
          <w:rFonts w:ascii="Times New Roman" w:hAnsi="Times New Roman"/>
          <w:b w:val="false"/>
          <w:i w:val="false"/>
          <w:color w:val="000000"/>
          <w:sz w:val="22"/>
        </w:rPr>
        <w:t>Applications that are recommended for funding by the committee will be forwarded to the board for final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51.4(6)</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amount of financial assistance awarded to an eligible business for all applications under the program shall not exceed $100,000.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51.4(7)</w:t>
      </w:r>
      <w:r>
        <w:rPr>
          <w:rFonts w:ascii="Times New Roman" w:hAnsi="Times New Roman"/>
          <w:b w:val="false"/>
          <w:i w:val="false"/>
          <w:color w:val="000000"/>
          <w:sz w:val="22"/>
        </w:rPr>
        <w:t> </w:t>
      </w:r>
      <w:r>
        <w:rPr>
          <w:rFonts w:ascii="Times New Roman" w:hAnsi="Times New Roman"/>
          <w:b w:val="false"/>
          <w:i w:val="false"/>
          <w:color w:val="000000"/>
          <w:sz w:val="22"/>
        </w:rPr>
        <w:t>Successful applicants will be notified in writing of an award of financial assistance, including any conditions and terms of the award.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5971C</w:t>
      </w:r>
      <w:r>
        <w:rPr>
          <w:rFonts w:ascii="Times New Roman" w:hAnsi="Times New Roman"/>
          <w:b w:val="false"/>
          <w:i w:val="false"/>
          <w:color w:val="000000"/>
          <w:sz w:val="16"/>
        </w:rPr>
        <w:t>, IAB 10/6/21, effective 9/17/21</w:t>
      </w:r>
      <w:r>
        <w:rPr>
          <w:rFonts w:ascii="Times New Roman" w:hAnsi="Times New Roman"/>
          <w:b w:val="false"/>
          <w:i w:val="false"/>
          <w:color w:val="000000"/>
          <w:sz w:val="16"/>
        </w:rPr>
        <w:t xml:space="preserve">; </w:t>
      </w:r>
      <w:r>
        <w:rPr>
          <w:rFonts w:ascii="Times New Roman" w:hAnsi="Times New Roman"/>
          <w:b/>
          <w:i w:val="false"/>
          <w:color w:val="000000"/>
          <w:sz w:val="16"/>
        </w:rPr>
        <w:t>ARC 6638C</w:t>
      </w:r>
      <w:r>
        <w:rPr>
          <w:rFonts w:ascii="Times New Roman" w:hAnsi="Times New Roman"/>
          <w:b w:val="false"/>
          <w:i w:val="false"/>
          <w:color w:val="000000"/>
          <w:sz w:val="16"/>
        </w:rPr>
        <w:t>, IAB 11/16/22, effective 10/21/22</w:t>
      </w:r>
      <w:r>
        <w:rPr>
          <w:rFonts w:ascii="Times New Roman" w:hAnsi="Times New Roman"/>
          <w:b w:val="false"/>
          <w:i w:val="false"/>
          <w:color w:val="000000"/>
          <w:sz w:val="16"/>
        </w:rPr>
        <w:t xml:space="preserve">; </w:t>
      </w:r>
      <w:r>
        <w:rPr>
          <w:rFonts w:ascii="Times New Roman" w:hAnsi="Times New Roman"/>
          <w:b/>
          <w:i w:val="false"/>
          <w:color w:val="000000"/>
          <w:sz w:val="16"/>
        </w:rPr>
        <w:t>ARC 7122C</w:t>
      </w:r>
      <w:r>
        <w:rPr>
          <w:rFonts w:ascii="Times New Roman" w:hAnsi="Times New Roman"/>
          <w:b w:val="false"/>
          <w:i w:val="false"/>
          <w:color w:val="000000"/>
          <w:sz w:val="16"/>
        </w:rPr>
        <w:t>, IAB 11/15/23, effective 12/20/23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261—51.5</w:t>
      </w:r>
      <w:r>
        <w:rPr>
          <w:rFonts w:ascii="Times New Roman" w:hAnsi="Times New Roman"/>
          <w:b/>
          <w:i w:val="false"/>
          <w:color w:val="000000"/>
          <w:sz w:val="22"/>
        </w:rPr>
        <w:t xml:space="preserve">(15E) </w:t>
      </w:r>
      <w:r>
        <w:rPr>
          <w:rFonts w:ascii="Times New Roman" w:hAnsi="Times New Roman"/>
          <w:b/>
          <w:i w:val="false"/>
          <w:color w:val="000000"/>
          <w:sz w:val="22"/>
        </w:rPr>
        <w:t xml:space="preserve">Application scoring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51.5(1)</w:t>
      </w:r>
      <w:r>
        <w:rPr>
          <w:rFonts w:ascii="Times New Roman" w:hAnsi="Times New Roman"/>
          <w:b w:val="false"/>
          <w:i w:val="false"/>
          <w:color w:val="000000"/>
          <w:sz w:val="22"/>
        </w:rPr>
        <w:t> </w:t>
      </w:r>
      <w:r>
        <w:rPr>
          <w:rFonts w:ascii="Times New Roman" w:hAnsi="Times New Roman"/>
          <w:b w:val="false"/>
          <w:i/>
          <w:color w:val="000000"/>
          <w:sz w:val="22"/>
        </w:rPr>
        <w:t xml:space="preserve">Application scoring. </w:t>
      </w:r>
      <w:r>
        <w:rPr>
          <w:rFonts w:ascii="Times New Roman" w:hAnsi="Times New Roman"/>
          <w:b w:val="false"/>
          <w:i w:val="false"/>
          <w:color w:val="000000"/>
          <w:sz w:val="22"/>
        </w:rPr>
        <w:t xml:space="preserve">A scoring committee composed of individuals with relevant expertise and experience will be appointed by the director in consultation with the secretary. The committee will evaluate the applications and give them an average numerical score between 0 and 100.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51.5(2)</w:t>
      </w:r>
      <w:r>
        <w:rPr>
          <w:rFonts w:ascii="Times New Roman" w:hAnsi="Times New Roman"/>
          <w:b w:val="false"/>
          <w:i w:val="false"/>
          <w:color w:val="000000"/>
          <w:sz w:val="22"/>
        </w:rPr>
        <w:t> </w:t>
      </w:r>
      <w:r>
        <w:rPr>
          <w:rFonts w:ascii="Times New Roman" w:hAnsi="Times New Roman"/>
          <w:b w:val="false"/>
          <w:i/>
          <w:color w:val="000000"/>
          <w:sz w:val="22"/>
        </w:rPr>
        <w:t xml:space="preserve">Scoring criteria. </w:t>
      </w:r>
      <w:r>
        <w:rPr>
          <w:rFonts w:ascii="Times New Roman" w:hAnsi="Times New Roman"/>
          <w:b w:val="false"/>
          <w:i w:val="false"/>
          <w:color w:val="000000"/>
          <w:sz w:val="22"/>
        </w:rPr>
        <w:t>The criteria under which each application will be scored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project expands processing capacity or increases efficiency: 25 points. Projects that benefit local small-scale farmers by creating or expanding opportunities to market processed meat under private labels, provide greater flexibility or convenience to have animals processed, or establish an essential community asset will receive more points. Projects that are likely to negatively impact existing meat processing businesses will receive fewer points. The committee may also consider the extent of any likely negative impact.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sufficiency of the proposed project’s financing structure, the feasibility of the sources of funds, and the appropriateness of the proposed uses of the funds: 25 points. Applicants that can demonstrate that the applicant has planned for long-term use of the project will receive more points.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extent to which the proposed investment is consistent with the opportunities identified in the assessment completed by CIRAS pursuant to </w:t>
      </w:r>
      <w:hyperlink r:id="rId22">
        <w:r>
          <w:rPr>
            <w:rStyle w:val="Hyperlink"/>
            <w:rFonts w:ascii="Times New Roman" w:hAnsi="Times New Roman"/>
            <w:b w:val="false"/>
            <w:i w:val="false"/>
            <w:color w:val="000000"/>
            <w:sz w:val="22"/>
          </w:rPr>
          <w:t>paragraph 51.3(1)</w:t>
        </w:r>
        <w:r>
          <w:rPr>
            <w:rFonts w:ascii="Times New Roman" w:hAnsi="Times New Roman"/>
            <w:b w:val="false"/>
            <w:i/>
            <w:color w:val="000000"/>
            <w:sz w:val="22"/>
          </w:rPr>
          <w:t>“h”</w:t>
        </w:r>
      </w:hyperlink>
      <w:r>
        <w:rPr>
          <w:rFonts w:ascii="Times New Roman" w:hAnsi="Times New Roman"/>
          <w:b w:val="false"/>
          <w:i w:val="false"/>
          <w:color w:val="000000"/>
          <w:sz w:val="22"/>
        </w:rPr>
        <w:t>: 15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and quality of jobs to be created by the applicant as a result of the project or the extent to which the proposed investment uses automation to address workforce issues: 15 points. Projects that create more jobs or higher quality jobs will receive more points. Factors the committee will consider in assessing the quality of jobs include, but are not limited to, wages and benefits. Projects that utilize technology to address the workforce needs of the business, resulting in a more skilled workforce or increased processing capacity, will also receive more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financial need of the applicant: 10 points. Applicants that received a business improvement grant from the department for expenses incurred between March 1, 2020, and December 1, 2020, or previous financial assistance from the authority will receive fewer points.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completeness of the application information and sufficiency of detail used to describe the project in the application: 10 points.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5971C</w:t>
      </w:r>
      <w:r>
        <w:rPr>
          <w:rFonts w:ascii="Times New Roman" w:hAnsi="Times New Roman"/>
          <w:b w:val="false"/>
          <w:i w:val="false"/>
          <w:color w:val="000000"/>
          <w:sz w:val="16"/>
        </w:rPr>
        <w:t>, IAB 10/6/21, effective 9/17/21</w:t>
      </w:r>
      <w:r>
        <w:rPr>
          <w:rFonts w:ascii="Times New Roman" w:hAnsi="Times New Roman"/>
          <w:b w:val="false"/>
          <w:i w:val="false"/>
          <w:color w:val="000000"/>
          <w:sz w:val="16"/>
        </w:rPr>
        <w:t xml:space="preserve">; </w:t>
      </w:r>
      <w:r>
        <w:rPr>
          <w:rFonts w:ascii="Times New Roman" w:hAnsi="Times New Roman"/>
          <w:b/>
          <w:i w:val="false"/>
          <w:color w:val="000000"/>
          <w:sz w:val="16"/>
        </w:rPr>
        <w:t>ARC 6638C</w:t>
      </w:r>
      <w:r>
        <w:rPr>
          <w:rFonts w:ascii="Times New Roman" w:hAnsi="Times New Roman"/>
          <w:b w:val="false"/>
          <w:i w:val="false"/>
          <w:color w:val="000000"/>
          <w:sz w:val="16"/>
        </w:rPr>
        <w:t>, IAB 11/16/22, effective 10/21/22</w:t>
      </w:r>
      <w:r>
        <w:rPr>
          <w:rFonts w:ascii="Times New Roman" w:hAnsi="Times New Roman"/>
          <w:b w:val="false"/>
          <w:i w:val="false"/>
          <w:color w:val="000000"/>
          <w:sz w:val="16"/>
        </w:rPr>
        <w:t xml:space="preserve">; </w:t>
      </w:r>
      <w:r>
        <w:rPr>
          <w:rFonts w:ascii="Times New Roman" w:hAnsi="Times New Roman"/>
          <w:b/>
          <w:i w:val="false"/>
          <w:color w:val="000000"/>
          <w:sz w:val="16"/>
        </w:rPr>
        <w:t>ARC 7122C</w:t>
      </w:r>
      <w:r>
        <w:rPr>
          <w:rFonts w:ascii="Times New Roman" w:hAnsi="Times New Roman"/>
          <w:b w:val="false"/>
          <w:i w:val="false"/>
          <w:color w:val="000000"/>
          <w:sz w:val="16"/>
        </w:rPr>
        <w:t>, IAB 11/15/23, effective 12/20/23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261—51.6</w:t>
      </w:r>
      <w:r>
        <w:rPr>
          <w:rFonts w:ascii="Times New Roman" w:hAnsi="Times New Roman"/>
          <w:b/>
          <w:i w:val="false"/>
          <w:color w:val="000000"/>
          <w:sz w:val="22"/>
        </w:rPr>
        <w:t xml:space="preserve">(15E) </w:t>
      </w:r>
      <w:r>
        <w:rPr>
          <w:rFonts w:ascii="Times New Roman" w:hAnsi="Times New Roman"/>
          <w:b/>
          <w:i w:val="false"/>
          <w:color w:val="000000"/>
          <w:sz w:val="22"/>
        </w:rPr>
        <w:t xml:space="preserve">Contract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will prepare a contract for each award approved by the board. The contract will reflect the terms of the award and may include other terms and conditions reasonably necessary for implementation of the program pursuant to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51.6(2)</w:t>
      </w:r>
      <w:r>
        <w:rPr>
          <w:rFonts w:ascii="Times New Roman" w:hAnsi="Times New Roman"/>
          <w:b w:val="false"/>
          <w:i w:val="false"/>
          <w:color w:val="000000"/>
          <w:sz w:val="22"/>
        </w:rPr>
        <w:t> </w:t>
      </w:r>
      <w:r>
        <w:rPr>
          <w:rFonts w:ascii="Times New Roman" w:hAnsi="Times New Roman"/>
          <w:b w:val="false"/>
          <w:i w:val="false"/>
          <w:color w:val="000000"/>
          <w:sz w:val="22"/>
        </w:rPr>
        <w:t>Any substantive change to a proposed project shall require an amendment to the contract. Amendments shall be requested in writing. No amendment shall be valid until approved by the board. The authority may execute nonsubstantive or corrective changes to the contract without board approval.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5971C</w:t>
      </w:r>
      <w:r>
        <w:rPr>
          <w:rFonts w:ascii="Times New Roman" w:hAnsi="Times New Roman"/>
          <w:b w:val="false"/>
          <w:i w:val="false"/>
          <w:color w:val="000000"/>
          <w:sz w:val="16"/>
        </w:rPr>
        <w:t>, IAB 10/6/21, effective 9/17/21</w:t>
      </w:r>
      <w:r>
        <w:rPr>
          <w:rFonts w:ascii="Times New Roman" w:hAnsi="Times New Roman"/>
          <w:b w:val="false"/>
          <w:i w:val="false"/>
          <w:color w:val="000000"/>
          <w:sz w:val="16"/>
        </w:rPr>
        <w:t xml:space="preserve">; </w:t>
      </w:r>
      <w:r>
        <w:rPr>
          <w:rFonts w:ascii="Times New Roman" w:hAnsi="Times New Roman"/>
          <w:b/>
          <w:i w:val="false"/>
          <w:color w:val="000000"/>
          <w:sz w:val="16"/>
        </w:rPr>
        <w:t>ARC 6638C</w:t>
      </w:r>
      <w:r>
        <w:rPr>
          <w:rFonts w:ascii="Times New Roman" w:hAnsi="Times New Roman"/>
          <w:b w:val="false"/>
          <w:i w:val="false"/>
          <w:color w:val="000000"/>
          <w:sz w:val="16"/>
        </w:rPr>
        <w:t>, IAB 11/16/22, effective 10/21/22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261—51.7</w:t>
      </w:r>
      <w:r>
        <w:rPr>
          <w:rFonts w:ascii="Times New Roman" w:hAnsi="Times New Roman"/>
          <w:b/>
          <w:i w:val="false"/>
          <w:color w:val="000000"/>
          <w:sz w:val="22"/>
        </w:rPr>
        <w:t xml:space="preserve">(15E) </w:t>
      </w:r>
      <w:r>
        <w:rPr>
          <w:rFonts w:ascii="Times New Roman" w:hAnsi="Times New Roman"/>
          <w:b/>
          <w:i w:val="false"/>
          <w:color w:val="000000"/>
          <w:sz w:val="22"/>
        </w:rPr>
        <w:t xml:space="preserve">Disbursement of funds. </w:t>
      </w:r>
      <w:r>
        <w:rPr>
          <w:rFonts w:ascii="Times New Roman" w:hAnsi="Times New Roman"/>
          <w:b w:val="false"/>
          <w:i w:val="false"/>
          <w:color w:val="000000"/>
          <w:sz w:val="22"/>
        </w:rPr>
        <w:t>The authority will disburse funds for a project only after a complete application has been received, an award has been approved by the board, a contract has been executed between the applicant and the authority, and all applicable conditions for disbursement have been met, including the submission of documentation pertaining to the eligible expenditures. Disbursement of funds under the contract will be on a reimbursement basis for expenses incurred by the applicant after the date the board approves the award and as provided under the contract.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5971C</w:t>
      </w:r>
      <w:r>
        <w:rPr>
          <w:rFonts w:ascii="Times New Roman" w:hAnsi="Times New Roman"/>
          <w:b w:val="false"/>
          <w:i w:val="false"/>
          <w:color w:val="000000"/>
          <w:sz w:val="16"/>
        </w:rPr>
        <w:t>, IAB 10/6/21, effective 9/17/21</w:t>
      </w:r>
      <w:r>
        <w:rPr>
          <w:rFonts w:ascii="Times New Roman" w:hAnsi="Times New Roman"/>
          <w:b w:val="false"/>
          <w:i w:val="false"/>
          <w:color w:val="000000"/>
          <w:sz w:val="16"/>
        </w:rPr>
        <w:t xml:space="preserve">; </w:t>
      </w:r>
      <w:r>
        <w:rPr>
          <w:rFonts w:ascii="Times New Roman" w:hAnsi="Times New Roman"/>
          <w:b/>
          <w:i w:val="false"/>
          <w:color w:val="000000"/>
          <w:sz w:val="16"/>
        </w:rPr>
        <w:t>ARC 6638C</w:t>
      </w:r>
      <w:r>
        <w:rPr>
          <w:rFonts w:ascii="Times New Roman" w:hAnsi="Times New Roman"/>
          <w:b w:val="false"/>
          <w:i w:val="false"/>
          <w:color w:val="000000"/>
          <w:sz w:val="16"/>
        </w:rPr>
        <w:t>, IAB 11/16/22, effective 10/21/22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261—51.8</w:t>
      </w:r>
      <w:r>
        <w:rPr>
          <w:rFonts w:ascii="Times New Roman" w:hAnsi="Times New Roman"/>
          <w:b/>
          <w:i w:val="false"/>
          <w:color w:val="000000"/>
          <w:sz w:val="22"/>
        </w:rPr>
        <w:t xml:space="preserve">(15E) </w:t>
      </w:r>
      <w:r>
        <w:rPr>
          <w:rFonts w:ascii="Times New Roman" w:hAnsi="Times New Roman"/>
          <w:b/>
          <w:i w:val="false"/>
          <w:color w:val="000000"/>
          <w:sz w:val="22"/>
        </w:rPr>
        <w:t xml:space="preserve">Reporting. </w:t>
      </w:r>
      <w:r>
        <w:rPr>
          <w:rFonts w:ascii="Times New Roman" w:hAnsi="Times New Roman"/>
          <w:b w:val="false"/>
          <w:i w:val="false"/>
          <w:color w:val="000000"/>
          <w:sz w:val="22"/>
        </w:rPr>
        <w:t>An applicant receiving assistance under the program shall submit any information reasonably requested by the authority in sufficient detail to permit the authority to prepare any reports required by the authority, the board, the general assembly or the governor’s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5971C</w:t>
      </w:r>
      <w:r>
        <w:rPr>
          <w:rFonts w:ascii="Times New Roman" w:hAnsi="Times New Roman"/>
          <w:b w:val="false"/>
          <w:i w:val="false"/>
          <w:color w:val="000000"/>
          <w:sz w:val="16"/>
        </w:rPr>
        <w:t>, IAB 10/6/21, effective 9/17/21</w:t>
      </w:r>
      <w:r>
        <w:rPr>
          <w:rFonts w:ascii="Times New Roman" w:hAnsi="Times New Roman"/>
          <w:b w:val="false"/>
          <w:i w:val="false"/>
          <w:color w:val="000000"/>
          <w:sz w:val="16"/>
        </w:rPr>
        <w:t xml:space="preserve">; </w:t>
      </w:r>
      <w:r>
        <w:rPr>
          <w:rFonts w:ascii="Times New Roman" w:hAnsi="Times New Roman"/>
          <w:b/>
          <w:i w:val="false"/>
          <w:color w:val="000000"/>
          <w:sz w:val="16"/>
        </w:rPr>
        <w:t>ARC 6638C</w:t>
      </w:r>
      <w:r>
        <w:rPr>
          <w:rFonts w:ascii="Times New Roman" w:hAnsi="Times New Roman"/>
          <w:b w:val="false"/>
          <w:i w:val="false"/>
          <w:color w:val="000000"/>
          <w:sz w:val="16"/>
        </w:rPr>
        <w:t>, IAB 11/16/22, effective 10/21/22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3">
        <w:r>
          <w:rPr>
            <w:rStyle w:val="Hyperlink"/>
            <w:rFonts w:ascii="Times New Roman" w:hAnsi="Times New Roman"/>
            <w:b w:val="false"/>
            <w:i w:val="false"/>
            <w:color w:val="000000"/>
            <w:sz w:val="22"/>
          </w:rPr>
          <w:t>15E.370</w:t>
        </w:r>
      </w:hyperlink>
      <w:r>
        <w:rPr>
          <w:rFonts w:ascii="Times New Roman" w:hAnsi="Times New Roman"/>
          <w:b w:val="false"/>
          <w:i w:val="false"/>
          <w:color w:val="000000"/>
          <w:sz w:val="22"/>
        </w:rPr>
        <w:t xml:space="preserve"> as amended by 2023 Iowa Acts, House File 185. </w:t>
      </w:r>
    </w:p>
    <w:p>
      <w:pPr>
        <w:spacing w:before="0" w:after="0"/>
        <w:ind w:left="120"/>
        <w:jc w:val="center"/>
      </w:pPr>
      <w:r>
        <w:rPr>
          <w:rFonts w:ascii="Times New Roman" w:hAnsi="Times New Roman"/>
          <w:b w:val="false"/>
          <w:i w:val="false"/>
          <w:color w:val="000000"/>
          <w:sz w:val="21"/>
        </w:rPr>
        <w:t>[Filed Emergency After Notice ARC 5971C</w:t>
      </w:r>
      <w:r>
        <w:rPr>
          <w:rFonts w:ascii="Times New Roman" w:hAnsi="Times New Roman"/>
          <w:b w:val="false"/>
          <w:i w:val="false"/>
          <w:color w:val="000000"/>
          <w:sz w:val="21"/>
        </w:rPr>
        <w:t xml:space="preserve"> (Notice ARC 5851C, IAB 8/11/21)</w:t>
      </w:r>
      <w:r>
        <w:rPr>
          <w:rFonts w:ascii="Times New Roman" w:hAnsi="Times New Roman"/>
          <w:b w:val="false"/>
          <w:i w:val="false"/>
          <w:color w:val="000000"/>
          <w:sz w:val="21"/>
        </w:rPr>
        <w:t>, IAB 10/6/21, effective 9/17/21]</w:t>
      </w:r>
    </w:p>
    <w:p>
      <w:pPr>
        <w:spacing w:before="0" w:after="0"/>
        <w:ind w:left="120"/>
        <w:jc w:val="center"/>
      </w:pPr>
      <w:r>
        <w:rPr>
          <w:rFonts w:ascii="Times New Roman" w:hAnsi="Times New Roman"/>
          <w:b w:val="false"/>
          <w:i w:val="false"/>
          <w:color w:val="000000"/>
          <w:sz w:val="21"/>
        </w:rPr>
        <w:t>[Filed Emergency After Notice ARC 6638C</w:t>
      </w:r>
      <w:r>
        <w:rPr>
          <w:rFonts w:ascii="Times New Roman" w:hAnsi="Times New Roman"/>
          <w:b w:val="false"/>
          <w:i w:val="false"/>
          <w:color w:val="000000"/>
          <w:sz w:val="21"/>
        </w:rPr>
        <w:t xml:space="preserve"> (Notice ARC 6470C, IAB 8/24/22)</w:t>
      </w:r>
      <w:r>
        <w:rPr>
          <w:rFonts w:ascii="Times New Roman" w:hAnsi="Times New Roman"/>
          <w:b w:val="false"/>
          <w:i w:val="false"/>
          <w:color w:val="000000"/>
          <w:sz w:val="21"/>
        </w:rPr>
        <w:t>, IAB 11/16/22, effective 10/21/22]</w:t>
      </w:r>
    </w:p>
    <w:p>
      <w:pPr>
        <w:spacing w:before="0" w:after="0"/>
        <w:ind w:left="120"/>
        <w:jc w:val="center"/>
      </w:pPr>
      <w:r>
        <w:rPr>
          <w:rFonts w:ascii="Times New Roman" w:hAnsi="Times New Roman"/>
          <w:b w:val="false"/>
          <w:i w:val="false"/>
          <w:color w:val="000000"/>
          <w:sz w:val="21"/>
        </w:rPr>
        <w:t>[Filed ARC 7122C</w:t>
      </w:r>
      <w:r>
        <w:rPr>
          <w:rFonts w:ascii="Times New Roman" w:hAnsi="Times New Roman"/>
          <w:b w:val="false"/>
          <w:i w:val="false"/>
          <w:color w:val="000000"/>
          <w:sz w:val="21"/>
        </w:rPr>
        <w:t xml:space="preserve"> (Notice ARC 7066C, IAB 8/23/23)</w:t>
      </w:r>
      <w:r>
        <w:rPr>
          <w:rFonts w:ascii="Times New Roman" w:hAnsi="Times New Roman"/>
          <w:b w:val="false"/>
          <w:i w:val="false"/>
          <w:color w:val="000000"/>
          <w:sz w:val="21"/>
        </w:rPr>
        <w:t>, IAB 11/15/23, effective 12/20/23]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E.370.pdf" Type="http://schemas.openxmlformats.org/officeDocument/2006/relationships/hyperlink" Id="rId5"/>
    <Relationship TargetMode="External" Target="https://www.legis.iowa.gov/docs/ico/chapter/15.105.pdf" Type="http://schemas.openxmlformats.org/officeDocument/2006/relationships/hyperlink" Id="rId6"/>
    <Relationship TargetMode="External" Target="http://www.iowaeda.com" Type="http://schemas.openxmlformats.org/officeDocument/2006/relationships/hyperlink" Id="rId7"/>
    <Relationship TargetMode="External" Target="https://www.legis.iowa.gov/docs/ico/chapter/15.105.pdf" Type="http://schemas.openxmlformats.org/officeDocument/2006/relationships/hyperlink" Id="rId8"/>
    <Relationship TargetMode="External" Target="https://www.legis.iowa.gov/docs/iac/rule/261.51.5.pdf" Type="http://schemas.openxmlformats.org/officeDocument/2006/relationships/hyperlink" Id="rId9"/>
    <Relationship TargetMode="External" Target="https://www.legis.iowa.gov/docs/ico/chapter/189A.2.pdf" Type="http://schemas.openxmlformats.org/officeDocument/2006/relationships/hyperlink" Id="rId10"/>
    <Relationship TargetMode="External" Target="https://www.legis.iowa.gov/docs/ico/chapter/15.370.pdf" Type="http://schemas.openxmlformats.org/officeDocument/2006/relationships/hyperlink" Id="rId11"/>
    <Relationship TargetMode="External" Target="https://www.legis.iowa.gov/docs/iac/chapter/21.76.pdf" Type="http://schemas.openxmlformats.org/officeDocument/2006/relationships/hyperlink" Id="rId12"/>
    <Relationship TargetMode="External" Target="https://www.legis.iowa.gov/docs/ico/chapter/15E.370.pdf" Type="http://schemas.openxmlformats.org/officeDocument/2006/relationships/hyperlink" Id="rId13"/>
    <Relationship TargetMode="External" Target="https://www.legis.iowa.gov/docs/ico/chapter/189A.pdf" Type="http://schemas.openxmlformats.org/officeDocument/2006/relationships/hyperlink" Id="rId14"/>
    <Relationship TargetMode="External" Target="https://www.legis.iowa.gov/docs/ico/chapter/15E.370.pdf" Type="http://schemas.openxmlformats.org/officeDocument/2006/relationships/hyperlink" Id="rId15"/>
    <Relationship TargetMode="External" Target="https://www.legis.iowa.gov/docs/ico/chapter/15E.370.pdf" Type="http://schemas.openxmlformats.org/officeDocument/2006/relationships/hyperlink" Id="rId16"/>
    <Relationship TargetMode="External" Target="https://www.legis.iowa.gov/docs/iac/rule/261.51.3.pdf" Type="http://schemas.openxmlformats.org/officeDocument/2006/relationships/hyperlink" Id="rId17"/>
    <Relationship TargetMode="External" Target="https://www.legis.iowa.gov/docs/iac/rule/261.51.3.pdf" Type="http://schemas.openxmlformats.org/officeDocument/2006/relationships/hyperlink" Id="rId18"/>
    <Relationship TargetMode="External" Target="https://www.legis.iowa.gov/docs/iac/rule/261.51.3.pdf" Type="http://schemas.openxmlformats.org/officeDocument/2006/relationships/hyperlink" Id="rId19"/>
    <Relationship TargetMode="External" Target="https://www.legis.iowa.gov/docs/iac/rule/261.51.3.pdf" Type="http://schemas.openxmlformats.org/officeDocument/2006/relationships/hyperlink" Id="rId20"/>
    <Relationship TargetMode="External" Target="https://www.legis.iowa.gov/docs/iac/rule/261.51.5.pdf" Type="http://schemas.openxmlformats.org/officeDocument/2006/relationships/hyperlink" Id="rId21"/>
    <Relationship TargetMode="External" Target="https://www.legis.iowa.gov/docs/iac/rule/261.51.3.pdf" Type="http://schemas.openxmlformats.org/officeDocument/2006/relationships/hyperlink" Id="rId22"/>
    <Relationship TargetMode="External" Target="https://www.legis.iowa.gov/docs/ico/chapter/15E.370.pdf" Type="http://schemas.openxmlformats.org/officeDocument/2006/relationships/hyperlink"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