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47</w:t>
      </w:r>
    </w:p>
    <w:p>
      <w:pPr>
        <w:spacing w:before="0" w:after="0"/>
        <w:ind w:left="120"/>
        <w:jc w:val="center"/>
      </w:pPr>
      <w:r>
        <w:rPr>
          <w:rFonts w:ascii="Times New Roman" w:hAnsi="Times New Roman"/>
          <w:b w:val="false"/>
          <w:i w:val="false"/>
          <w:color w:val="000000"/>
          <w:sz w:val="21"/>
        </w:rPr>
        <w:t>ENDOW IOWA TAX CREDITS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5/20/31</w:t>
      </w:r>
    </w:p>
    <w:p>
      <w:pPr>
        <w:spacing w:before="0" w:after="0"/>
        <w:ind w:left="120"/>
        <w:jc w:val="both"/>
      </w:pPr>
      <w:r>
        <w:rPr>
          <w:rFonts w:ascii="Times New Roman" w:hAnsi="Times New Roman"/>
          <w:b/>
          <w:i w:val="false"/>
          <w:color w:val="000000"/>
          <w:sz w:val="22"/>
        </w:rPr>
        <w:t>261—47.1</w:t>
      </w:r>
      <w:r>
        <w:rPr>
          <w:rFonts w:ascii="Times New Roman" w:hAnsi="Times New Roman"/>
          <w:b/>
          <w:i w:val="false"/>
          <w:color w:val="000000"/>
          <w:sz w:val="22"/>
        </w:rPr>
        <w:t xml:space="preserve">(15E)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endow Iowa tax credits is to encourage investment in community foundations to enhance the quality of life for residents through philanthropic activity.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0206D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261—47.2</w:t>
      </w:r>
      <w:r>
        <w:rPr>
          <w:rFonts w:ascii="Times New Roman" w:hAnsi="Times New Roman"/>
          <w:b/>
          <w:i w:val="false"/>
          <w:color w:val="000000"/>
          <w:sz w:val="22"/>
        </w:rPr>
        <w:t xml:space="preserve">(15E)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economic development authority created pursuant to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“Community affiliate organization”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15E.303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“Corporation or other business entity”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business organized for profit or a nonprofit entity that includes the name of a business organized for profit.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“Endow Iowa qualified community foundation”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15E.303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“Endowment gift”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15E.303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“Permanent endowment fund”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fund held in an endow Iowa qualifying community foundation to provide benefit to charitable causes in the state of Iowa. Endowed funds are intended to exist in perpetuity. “Permanent endowment fund” does not include a fund that contains the name of a corporation or other business entity on or after June 6, 2025.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“Tax credit”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amount a taxpayer may claim against the taxes imposed in Iowa Code chapter </w:t>
      </w:r>
      <w:hyperlink r:id="rId9">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subchapters II, III, and V, and in Iowa Code chapter </w:t>
      </w:r>
      <w:hyperlink r:id="rId10">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xml:space="preserve">, and against the moneys and credits tax imposed in Iowa Code section </w:t>
      </w:r>
      <w:hyperlink r:id="rId11">
        <w:r>
          <w:rPr>
            <w:rStyle w:val="Hyperlink"/>
            <w:rFonts w:ascii="Times New Roman" w:hAnsi="Times New Roman"/>
            <w:b w:val="false"/>
            <w:i w:val="false"/>
            <w:color w:val="000000"/>
            <w:sz w:val="22"/>
          </w:rPr>
          <w:t>533.329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0206D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261—47.3</w:t>
      </w:r>
      <w:r>
        <w:rPr>
          <w:rFonts w:ascii="Times New Roman" w:hAnsi="Times New Roman"/>
          <w:b/>
          <w:i w:val="false"/>
          <w:color w:val="000000"/>
          <w:sz w:val="22"/>
        </w:rPr>
        <w:t xml:space="preserve">(15E) </w:t>
      </w:r>
      <w:r>
        <w:rPr>
          <w:rFonts w:ascii="Times New Roman" w:hAnsi="Times New Roman"/>
          <w:b/>
          <w:i w:val="false"/>
          <w:color w:val="000000"/>
          <w:sz w:val="22"/>
        </w:rPr>
        <w:t xml:space="preserve">Authorization of tax credits to taxpayers. </w:t>
      </w:r>
      <w:r>
        <w:rPr>
          <w:rFonts w:ascii="Times New Roman" w:hAnsi="Times New Roman"/>
          <w:b w:val="false"/>
          <w:i w:val="false"/>
          <w:color w:val="000000"/>
          <w:sz w:val="22"/>
        </w:rPr>
        <w:t xml:space="preserve">The authority shall authorize tax credits to qualified taxpayers pursuant to the provisions of Iowa Code section </w:t>
      </w:r>
      <w:hyperlink r:id="rId12">
        <w:r>
          <w:rPr>
            <w:rStyle w:val="Hyperlink"/>
            <w:rFonts w:ascii="Times New Roman" w:hAnsi="Times New Roman"/>
            <w:b w:val="false"/>
            <w:i w:val="false"/>
            <w:color w:val="000000"/>
            <w:sz w:val="22"/>
          </w:rPr>
          <w:t>15E.305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authority receives applications for tax credits in excess of the amount available pursuant to Iowa Code section </w:t>
      </w:r>
      <w:hyperlink r:id="rId13">
        <w:r>
          <w:rPr>
            <w:rStyle w:val="Hyperlink"/>
            <w:rFonts w:ascii="Times New Roman" w:hAnsi="Times New Roman"/>
            <w:b w:val="false"/>
            <w:i w:val="false"/>
            <w:color w:val="000000"/>
            <w:sz w:val="22"/>
          </w:rPr>
          <w:t>15E.305(2)</w:t>
        </w:r>
      </w:hyperlink>
      <w:r>
        <w:rPr>
          <w:rFonts w:ascii="Times New Roman" w:hAnsi="Times New Roman"/>
          <w:b w:val="false"/>
          <w:i w:val="false"/>
          <w:color w:val="000000"/>
          <w:sz w:val="22"/>
        </w:rPr>
        <w:t>, the applications shall be prioritized by the date the authority received the applications. Applications received in excess of the amount of tax credits available will be denied by the authority. A taxpayer shall submit an application to the authority for the tax credit no later than 12 months from the date of the donation that qualifies the taxpayer for the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 intends to claim a tax credit of a partnership, limited liability company, S corporation, estate, or trust electing to have income taxed directly to the individual will only be issued a tax credit if the individual submits an application as an individual. Alternatively, an individual may claim a portion of a tax credit issued to the partnership, limited liability company, S corporation, estate, or trust. The maximum amount of tax credits that may be issued to a taxpayer pursuant to Iowa Code section </w:t>
      </w:r>
      <w:hyperlink r:id="rId14">
        <w:r>
          <w:rPr>
            <w:rStyle w:val="Hyperlink"/>
            <w:rFonts w:ascii="Times New Roman" w:hAnsi="Times New Roman"/>
            <w:b w:val="false"/>
            <w:i w:val="false"/>
            <w:color w:val="000000"/>
            <w:sz w:val="22"/>
          </w:rPr>
          <w:t>15E.305(2)</w:t>
        </w:r>
      </w:hyperlink>
      <w:r>
        <w:rPr>
          <w:rFonts w:ascii="Times New Roman" w:hAnsi="Times New Roman"/>
          <w:b w:val="false"/>
          <w:i/>
          <w:color w:val="000000"/>
          <w:sz w:val="22"/>
        </w:rPr>
        <w:t>“a”</w:t>
      </w:r>
      <w:r>
        <w:rPr>
          <w:rFonts w:ascii="Times New Roman" w:hAnsi="Times New Roman"/>
          <w:b w:val="false"/>
          <w:i w:val="false"/>
          <w:color w:val="000000"/>
          <w:sz w:val="22"/>
        </w:rPr>
        <w:t xml:space="preserve"> will be applied to each tax credit issued, whether issued to an individual or partnership, limited liability company, S corporation,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47.3(3)</w:t>
      </w:r>
      <w:r>
        <w:rPr>
          <w:rFonts w:ascii="Times New Roman" w:hAnsi="Times New Roman"/>
          <w:b w:val="false"/>
          <w:i w:val="false"/>
          <w:color w:val="000000"/>
          <w:sz w:val="22"/>
        </w:rPr>
        <w:t> </w:t>
      </w:r>
      <w:r>
        <w:rPr>
          <w:rFonts w:ascii="Times New Roman" w:hAnsi="Times New Roman"/>
          <w:b w:val="false"/>
          <w:i w:val="false"/>
          <w:color w:val="000000"/>
          <w:sz w:val="22"/>
        </w:rPr>
        <w:t xml:space="preserve">For donations made on or after January 1, 2026, the authority will verify that the requirements in Iowa Code section </w:t>
      </w:r>
      <w:hyperlink r:id="rId15">
        <w:r>
          <w:rPr>
            <w:rStyle w:val="Hyperlink"/>
            <w:rFonts w:ascii="Times New Roman" w:hAnsi="Times New Roman"/>
            <w:b w:val="false"/>
            <w:i w:val="false"/>
            <w:color w:val="000000"/>
            <w:sz w:val="22"/>
          </w:rPr>
          <w:t>15E.305(4)</w:t>
        </w:r>
      </w:hyperlink>
      <w:r>
        <w:rPr>
          <w:rFonts w:ascii="Times New Roman" w:hAnsi="Times New Roman"/>
          <w:b w:val="false"/>
          <w:i w:val="false"/>
          <w:color w:val="000000"/>
          <w:sz w:val="22"/>
        </w:rPr>
        <w:t xml:space="preserve"> are met prior to issuance of a tax credit. For donations made on or after January 1, 2026, the endow Iowa qualified community foundation that administers a permanent endowment fund for which a taxpayer requests a tax credit must demonstrate that the endow Iowa qualified community foundation does not collect administrative fees or other fees that exceed 5 percent of the amount of any permanent endowment fund it holds. An endow Iowa qualified community foundation shall provide documentation demonstrating compliance with the fee cap upon request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47.3(4)</w:t>
      </w:r>
      <w:r>
        <w:rPr>
          <w:rFonts w:ascii="Times New Roman" w:hAnsi="Times New Roman"/>
          <w:b w:val="false"/>
          <w:i w:val="false"/>
          <w:color w:val="000000"/>
          <w:sz w:val="22"/>
        </w:rPr>
        <w:t> </w:t>
      </w:r>
      <w:r>
        <w:rPr>
          <w:rFonts w:ascii="Times New Roman" w:hAnsi="Times New Roman"/>
          <w:b w:val="false"/>
          <w:i w:val="false"/>
          <w:color w:val="000000"/>
          <w:sz w:val="22"/>
        </w:rPr>
        <w:t>To receive the tax credit, a donor shall file a claim with the department of revenue in accordance with any applicable administrative rules adopted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0206D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261—47.4</w:t>
      </w:r>
      <w:r>
        <w:rPr>
          <w:rFonts w:ascii="Times New Roman" w:hAnsi="Times New Roman"/>
          <w:b/>
          <w:i w:val="false"/>
          <w:color w:val="000000"/>
          <w:sz w:val="22"/>
        </w:rPr>
        <w:t xml:space="preserve">(15E) </w:t>
      </w:r>
      <w:r>
        <w:rPr>
          <w:rFonts w:ascii="Times New Roman" w:hAnsi="Times New Roman"/>
          <w:b/>
          <w:i w:val="false"/>
          <w:color w:val="000000"/>
          <w:sz w:val="22"/>
        </w:rPr>
        <w:t xml:space="preserve">Distribution process and review criteria. </w:t>
      </w:r>
      <w:r>
        <w:rPr>
          <w:rFonts w:ascii="Times New Roman" w:hAnsi="Times New Roman"/>
          <w:b w:val="false"/>
          <w:i w:val="false"/>
          <w:color w:val="000000"/>
          <w:sz w:val="22"/>
        </w:rPr>
        <w:t>The authority shall develop and make available a standardized application pertaining to the allocation of endow Iowa tax credits.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47.4(1)</w:t>
      </w:r>
      <w:r>
        <w:rPr>
          <w:rFonts w:ascii="Times New Roman" w:hAnsi="Times New Roman"/>
          <w:b w:val="false"/>
          <w:i w:val="false"/>
          <w:color w:val="000000"/>
          <w:sz w:val="22"/>
        </w:rPr>
        <w:t> </w:t>
      </w:r>
      <w:r>
        <w:rPr>
          <w:rFonts w:ascii="Times New Roman" w:hAnsi="Times New Roman"/>
          <w:b w:val="false"/>
          <w:i w:val="false"/>
          <w:color w:val="000000"/>
          <w:sz w:val="22"/>
        </w:rPr>
        <w:t>Of the annual amount available for tax credits, 25 percent shall be reserved for those permanent endowment gifts made to community affiliate organizations. If by September 1 of any year the entire 25 percent reserved for permanent endowment gifts corresponding to community affiliate organizations is not allocated, the amount remaining shall be available for other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will ensure the reservation of tax credits for endowment gifts of $30,000 pursuant to Iowa Code section </w:t>
      </w:r>
      <w:hyperlink r:id="rId16">
        <w:r>
          <w:rPr>
            <w:rStyle w:val="Hyperlink"/>
            <w:rFonts w:ascii="Times New Roman" w:hAnsi="Times New Roman"/>
            <w:b w:val="false"/>
            <w:i w:val="false"/>
            <w:color w:val="000000"/>
            <w:sz w:val="22"/>
          </w:rPr>
          <w:t>15E.305(2)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47.4(3)</w:t>
      </w:r>
      <w:r>
        <w:rPr>
          <w:rFonts w:ascii="Times New Roman" w:hAnsi="Times New Roman"/>
          <w:b w:val="false"/>
          <w:i w:val="false"/>
          <w:color w:val="000000"/>
          <w:sz w:val="22"/>
        </w:rPr>
        <w:t> </w:t>
      </w:r>
      <w:r>
        <w:rPr>
          <w:rFonts w:ascii="Times New Roman" w:hAnsi="Times New Roman"/>
          <w:b w:val="false"/>
          <w:i w:val="false"/>
          <w:color w:val="000000"/>
          <w:sz w:val="22"/>
        </w:rPr>
        <w:t>Applications will be accepted and awarded on an ongoing basis. The authority will provide information on the available allocation of tax credits on its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0206D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7">
        <w:r>
          <w:rPr>
            <w:rStyle w:val="Hyperlink"/>
            <w:rFonts w:ascii="Times New Roman" w:hAnsi="Times New Roman"/>
            <w:b w:val="false"/>
            <w:i w:val="false"/>
            <w:color w:val="000000"/>
            <w:sz w:val="22"/>
          </w:rPr>
          <w:t>15E</w:t>
        </w:r>
      </w:hyperlink>
      <w:r>
        <w:rPr>
          <w:rFonts w:ascii="Times New Roman" w:hAnsi="Times New Roman"/>
          <w:b w:val="false"/>
          <w:i w:val="false"/>
          <w:color w:val="000000"/>
          <w:sz w:val="22"/>
        </w:rPr>
        <w:t>, subchapter XXII.</w:t>
      </w:r>
    </w:p>
    <w:p>
      <w:pPr>
        <w:spacing w:before="0" w:after="0"/>
        <w:ind w:left="120"/>
        <w:jc w:val="center"/>
      </w:pPr>
      <w:r>
        <w:rPr>
          <w:rFonts w:ascii="Times New Roman" w:hAnsi="Times New Roman"/>
          <w:b w:val="false"/>
          <w:i w:val="false"/>
          <w:color w:val="000000"/>
          <w:sz w:val="21"/>
        </w:rPr>
        <w:t>[Filed 11/20/03, Notice 10/1/03—published 12/24/03, effective 1/28/04]</w:t>
      </w:r>
    </w:p>
    <w:p>
      <w:pPr>
        <w:spacing w:before="0" w:after="0"/>
        <w:ind w:left="120"/>
        <w:jc w:val="center"/>
      </w:pPr>
      <w:r>
        <w:rPr>
          <w:rFonts w:ascii="Times New Roman" w:hAnsi="Times New Roman"/>
          <w:b w:val="false"/>
          <w:i w:val="false"/>
          <w:color w:val="000000"/>
          <w:sz w:val="21"/>
        </w:rPr>
        <w:t>[Filed 10/21/05, Notice 8/3/05—published 11/9/05, effective 12/14/05]</w:t>
      </w:r>
    </w:p>
    <w:p>
      <w:pPr>
        <w:spacing w:before="0" w:after="0"/>
        <w:ind w:left="120"/>
        <w:jc w:val="center"/>
      </w:pPr>
      <w:r>
        <w:rPr>
          <w:rFonts w:ascii="Times New Roman" w:hAnsi="Times New Roman"/>
          <w:b w:val="false"/>
          <w:i w:val="false"/>
          <w:color w:val="000000"/>
          <w:sz w:val="21"/>
        </w:rPr>
        <w:t>[Filed ARC 8474B</w:t>
      </w:r>
      <w:r>
        <w:rPr>
          <w:rFonts w:ascii="Times New Roman" w:hAnsi="Times New Roman"/>
          <w:b w:val="false"/>
          <w:i w:val="false"/>
          <w:color w:val="000000"/>
          <w:sz w:val="21"/>
        </w:rPr>
        <w:t xml:space="preserve"> (Notice ARC 8228B, IAB 10/7/09)</w:t>
      </w:r>
      <w:r>
        <w:rPr>
          <w:rFonts w:ascii="Times New Roman" w:hAnsi="Times New Roman"/>
          <w:b w:val="false"/>
          <w:i w:val="false"/>
          <w:color w:val="000000"/>
          <w:sz w:val="21"/>
        </w:rPr>
        <w:t>, IAB 1/13/10, effective 2/17/10]</w:t>
      </w:r>
    </w:p>
    <w:p>
      <w:pPr>
        <w:spacing w:before="0" w:after="0"/>
        <w:ind w:left="120"/>
        <w:jc w:val="center"/>
      </w:pPr>
      <w:r>
        <w:rPr>
          <w:rFonts w:ascii="Times New Roman" w:hAnsi="Times New Roman"/>
          <w:b w:val="false"/>
          <w:i w:val="false"/>
          <w:color w:val="000000"/>
          <w:sz w:val="21"/>
        </w:rPr>
        <w:t>[Filed ARC 0008C</w:t>
      </w:r>
      <w:r>
        <w:rPr>
          <w:rFonts w:ascii="Times New Roman" w:hAnsi="Times New Roman"/>
          <w:b w:val="false"/>
          <w:i w:val="false"/>
          <w:color w:val="000000"/>
          <w:sz w:val="21"/>
        </w:rPr>
        <w:t xml:space="preserve"> (Notice ARC 9748B, IAB 9/7/11)</w:t>
      </w:r>
      <w:r>
        <w:rPr>
          <w:rFonts w:ascii="Times New Roman" w:hAnsi="Times New Roman"/>
          <w:b w:val="false"/>
          <w:i w:val="false"/>
          <w:color w:val="000000"/>
          <w:sz w:val="21"/>
        </w:rPr>
        <w:t>, IAB 2/8/12, effective 3/14/12]</w:t>
      </w:r>
    </w:p>
    <w:p>
      <w:pPr>
        <w:spacing w:before="0" w:after="0"/>
        <w:ind w:left="120"/>
        <w:jc w:val="center"/>
      </w:pPr>
      <w:r>
        <w:rPr>
          <w:rFonts w:ascii="Times New Roman" w:hAnsi="Times New Roman"/>
          <w:b w:val="false"/>
          <w:i w:val="false"/>
          <w:color w:val="000000"/>
          <w:sz w:val="21"/>
        </w:rPr>
        <w:t>[Filed ARC 0613C</w:t>
      </w:r>
      <w:r>
        <w:rPr>
          <w:rFonts w:ascii="Times New Roman" w:hAnsi="Times New Roman"/>
          <w:b w:val="false"/>
          <w:i w:val="false"/>
          <w:color w:val="000000"/>
          <w:sz w:val="21"/>
        </w:rPr>
        <w:t xml:space="preserve"> (Notice ARC 0344C, IAB 10/3/12)</w:t>
      </w:r>
      <w:r>
        <w:rPr>
          <w:rFonts w:ascii="Times New Roman" w:hAnsi="Times New Roman"/>
          <w:b w:val="false"/>
          <w:i w:val="false"/>
          <w:color w:val="000000"/>
          <w:sz w:val="21"/>
        </w:rPr>
        <w:t>, IAB 2/20/13, effective 3/27/13]</w:t>
      </w:r>
    </w:p>
    <w:p>
      <w:pPr>
        <w:spacing w:before="0" w:after="0"/>
        <w:ind w:left="120"/>
        <w:jc w:val="center"/>
      </w:pPr>
      <w:r>
        <w:rPr>
          <w:rFonts w:ascii="Times New Roman" w:hAnsi="Times New Roman"/>
          <w:b w:val="false"/>
          <w:i w:val="false"/>
          <w:color w:val="000000"/>
          <w:sz w:val="21"/>
        </w:rPr>
        <w:t>[Filed ARC 6793C</w:t>
      </w:r>
      <w:r>
        <w:rPr>
          <w:rFonts w:ascii="Times New Roman" w:hAnsi="Times New Roman"/>
          <w:b w:val="false"/>
          <w:i w:val="false"/>
          <w:color w:val="000000"/>
          <w:sz w:val="21"/>
        </w:rPr>
        <w:t xml:space="preserve"> (Notice ARC 6592C, IAB 10/19/22)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[Filed ARC 7492C</w:t>
      </w:r>
      <w:r>
        <w:rPr>
          <w:rFonts w:ascii="Times New Roman" w:hAnsi="Times New Roman"/>
          <w:b w:val="false"/>
          <w:i w:val="false"/>
          <w:color w:val="000000"/>
          <w:sz w:val="21"/>
        </w:rPr>
        <w:t xml:space="preserve"> (Notice ARC 7106C, IAB 11/1/23)</w:t>
      </w:r>
      <w:r>
        <w:rPr>
          <w:rFonts w:ascii="Times New Roman" w:hAnsi="Times New Roman"/>
          <w:b w:val="false"/>
          <w:i w:val="false"/>
          <w:color w:val="000000"/>
          <w:sz w:val="21"/>
        </w:rPr>
        <w:t>, IAB 1/10/24, effective 2/14/24]</w:t>
      </w:r>
    </w:p>
    <w:p>
      <w:pPr>
        <w:spacing w:before="0" w:after="0"/>
        <w:ind w:left="120"/>
        <w:jc w:val="center"/>
      </w:pPr>
      <w:r>
        <w:rPr>
          <w:rFonts w:ascii="Times New Roman" w:hAnsi="Times New Roman"/>
          <w:b w:val="false"/>
          <w:i w:val="false"/>
          <w:color w:val="000000"/>
          <w:sz w:val="21"/>
        </w:rPr>
        <w:t>[Filed ARC 0206D</w:t>
      </w:r>
      <w:r>
        <w:rPr>
          <w:rFonts w:ascii="Times New Roman" w:hAnsi="Times New Roman"/>
          <w:b w:val="false"/>
          <w:i w:val="false"/>
          <w:color w:val="000000"/>
          <w:sz w:val="21"/>
        </w:rPr>
        <w:t xml:space="preserve"> (Notice ARC 9973C, IAB 1/21/26)</w:t>
      </w:r>
      <w:r>
        <w:rPr>
          <w:rFonts w:ascii="Times New Roman" w:hAnsi="Times New Roman"/>
          <w:b w:val="false"/>
          <w:i w:val="false"/>
          <w:color w:val="000000"/>
          <w:sz w:val="21"/>
        </w:rPr>
        <w:t>, IAB 4/15/26, effective 5/20/26]</w:t>
      </w:r>
    </w:p>
    <w:sectPr>
      <w:footerReference r:id="rId18"/>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co/chapter/15E.303.pdf" Type="http://schemas.openxmlformats.org/officeDocument/2006/relationships/hyperlink" Id="rId6"/>
    <Relationship TargetMode="External" Target="https://www.legis.iowa.gov/docs/ico/chapter/15E.303.pdf" Type="http://schemas.openxmlformats.org/officeDocument/2006/relationships/hyperlink" Id="rId7"/>
    <Relationship TargetMode="External" Target="https://www.legis.iowa.gov/docs/ico/chapter/15E.303.pdf" Type="http://schemas.openxmlformats.org/officeDocument/2006/relationships/hyperlink" Id="rId8"/>
    <Relationship TargetMode="External" Target="https://www.legis.iowa.gov/docs/ico/chapter/422.pdf" Type="http://schemas.openxmlformats.org/officeDocument/2006/relationships/hyperlink" Id="rId9"/>
    <Relationship TargetMode="External" Target="https://www.legis.iowa.gov/docs/ico/chapter/432.pdf" Type="http://schemas.openxmlformats.org/officeDocument/2006/relationships/hyperlink" Id="rId10"/>
    <Relationship TargetMode="External" Target="https://www.legis.iowa.gov/docs/ico/chapter/533.329.pdf" Type="http://schemas.openxmlformats.org/officeDocument/2006/relationships/hyperlink" Id="rId11"/>
    <Relationship TargetMode="External" Target="https://www.legis.iowa.gov/docs/ico/chapter/15E.305.pdf" Type="http://schemas.openxmlformats.org/officeDocument/2006/relationships/hyperlink" Id="rId12"/>
    <Relationship TargetMode="External" Target="https://www.legis.iowa.gov/docs/ico/chapter/15E.305.pdf" Type="http://schemas.openxmlformats.org/officeDocument/2006/relationships/hyperlink" Id="rId13"/>
    <Relationship TargetMode="External" Target="https://www.legis.iowa.gov/docs/ico/chapter/15E.305.pdf" Type="http://schemas.openxmlformats.org/officeDocument/2006/relationships/hyperlink" Id="rId14"/>
    <Relationship TargetMode="External" Target="https://www.legis.iowa.gov/docs/ico/chapter/15E.305.pdf" Type="http://schemas.openxmlformats.org/officeDocument/2006/relationships/hyperlink" Id="rId15"/>
    <Relationship TargetMode="External" Target="https://www.legis.iowa.gov/docs/ico/chapter/15E.305.pdf" Type="http://schemas.openxmlformats.org/officeDocument/2006/relationships/hyperlink" Id="rId16"/>
    <Relationship TargetMode="External" Target="https://www.legis.iowa.gov/docs/ico/chapter/15E.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