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COMMUNITY CATALYST BUILDING REMEDIATION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261—45.1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w:t>
      </w:r>
      <w:r>
        <w:rPr>
          <w:rFonts w:ascii="Times New Roman" w:hAnsi="Times New Roman"/>
          <w:b w:val="false"/>
          <w:i w:val="false"/>
          <w:color w:val="000000"/>
          <w:sz w:val="22"/>
        </w:rPr>
        <w: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city applying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located in a city that is used or intended to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Commercial or industrial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Residential purposes;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Both commercial or industrial and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catalyst”</w:t>
      </w:r>
      <w:r>
        <w:rPr>
          <w:rFonts w:ascii="Times New Roman" w:hAnsi="Times New Roman"/>
          <w:b w:val="false"/>
          <w:i w:val="false"/>
          <w:color w:val="000000"/>
          <w:sz w:val="22"/>
        </w:rPr>
        <w:t> </w:t>
      </w:r>
      <w:r>
        <w:rPr>
          <w:rFonts w:ascii="Times New Roman" w:hAnsi="Times New Roman"/>
          <w:b w:val="false"/>
          <w:i w:val="false"/>
          <w:color w:val="000000"/>
          <w:sz w:val="22"/>
        </w:rPr>
        <w:t>means a building(s) located in an area central to a city’s economic development activities that, if remediated, would stimulate additional economic growth or reinvestment in the community, especially private sector financial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“Costs directly related”</w:t>
      </w:r>
      <w:r>
        <w:rPr>
          <w:rFonts w:ascii="Times New Roman" w:hAnsi="Times New Roman"/>
          <w:b w:val="false"/>
          <w:i w:val="false"/>
          <w:color w:val="000000"/>
          <w:sz w:val="22"/>
        </w:rPr>
        <w:t> </w:t>
      </w:r>
      <w:r>
        <w:rPr>
          <w:rFonts w:ascii="Times New Roman" w:hAnsi="Times New Roman"/>
          <w:b w:val="false"/>
          <w:i w:val="false"/>
          <w:color w:val="000000"/>
          <w:sz w:val="22"/>
        </w:rPr>
        <w:t>means expenditures that are incurred for acquisition, deconstruction, disposal, redevelopment, or rehabilitation of a community catalyst to the extent that the expenditures are attributable directly to the remediation or redevelopment of the community catalyst. “Costs directly related” includes expenditures for site preparation work, surveying, construction materials, construction labor, architectural services, engineering services, building permits, building inspection fees, and interest accrued on a construction loan during the time period allowed for project completion under an agreement entered into pursuant to the program. “Costs directly related” does not include expenditures for furnishings, appliances, accounting services, legal services, loan origination and other financing costs, syndication fees and related costs, developer fees, or the costs associated with selling or renting the dwelling units whether incurred before or after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“Economic growth”</w:t>
      </w:r>
      <w:r>
        <w:rPr>
          <w:rFonts w:ascii="Times New Roman" w:hAnsi="Times New Roman"/>
          <w:b w:val="false"/>
          <w:i w:val="false"/>
          <w:color w:val="000000"/>
          <w:sz w:val="22"/>
        </w:rPr>
        <w:t> </w:t>
      </w:r>
      <w:r>
        <w:rPr>
          <w:rFonts w:ascii="Times New Roman" w:hAnsi="Times New Roman"/>
          <w:b w:val="false"/>
          <w:i w:val="false"/>
          <w:color w:val="000000"/>
          <w:sz w:val="22"/>
        </w:rPr>
        <w:t>means the creation of additional jobs, growth of new or existing businesses, development of new housing units, increased property values, or potential population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15.231(2)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means a grant made by the authority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community catalyst building remediation program established pursuant to Iowa Code section </w:t>
      </w:r>
      <w:hyperlink r:id="rId7">
        <w:r>
          <w:rPr>
            <w:rStyle w:val="Hyperlink"/>
            <w:rFonts w:ascii="Times New Roman" w:hAnsi="Times New Roman"/>
            <w:b w:val="false"/>
            <w:i w:val="false"/>
            <w:color w:val="000000"/>
            <w:sz w:val="22"/>
          </w:rPr>
          <w:t>15.231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a proposed plan for the remediation of underutilized buildings in a city that is expected to have a significant positive impact on the city. “Project” must include at least one building but no more than two buildings. For two buildings to be considered part of the same project, the buildings must be contiguous and under the same ownership. All community catalyst buildings to be remediated must be included in the proposed plan upon application, and the proposed plan must demonstrate the steps and actions necessary to further remediation and redevelopment efforts in a comprehensive and coordinated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nuisance”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657A.1</w:t>
        </w:r>
      </w:hyperlink>
      <w:r>
        <w:rPr>
          <w:rFonts w:ascii="Times New Roman" w:hAnsi="Times New Roman"/>
          <w:b w:val="false"/>
          <w:i w:val="false"/>
          <w:color w:val="000000"/>
          <w:sz w:val="22"/>
        </w:rPr>
        <w:t xml:space="preserve"> and includes buildings with blighting characteristics as defined by Iowa Code section </w:t>
      </w:r>
      <w:hyperlink r:id="rId9">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“Redevelopment”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development activities associated with a project that are undertaken for the purpose of remediating underutilized buildings; for constructing new buildings or improvements at a site where formerly existing buildings have been demolished; or for rehabilitating, reusing or repurposing existing buildings or improvements at a project site. “Redevelopment” typically includes projects that result in the elimination of blighting characteristics as defined by Iowa Code section </w:t>
      </w:r>
      <w:hyperlink r:id="rId10">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“Remediation”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“remediating”</w:t>
      </w:r>
      <w:r>
        <w:rPr>
          <w:rFonts w:ascii="Times New Roman" w:hAnsi="Times New Roman"/>
          <w:b w:val="false"/>
          <w:i w:val="false"/>
          <w:color w:val="000000"/>
          <w:sz w:val="22"/>
        </w:rPr>
        <w:t> </w:t>
      </w:r>
      <w:r>
        <w:rPr>
          <w:rFonts w:ascii="Times New Roman" w:hAnsi="Times New Roman"/>
          <w:b w:val="false"/>
          <w:i w:val="false"/>
          <w:color w:val="000000"/>
          <w:sz w:val="22"/>
        </w:rPr>
        <w:t>means the redevelopment, repair, improvement, rehabilitation, disposal, or deconstruction of at least one but no more than two underutilized buildings at a site included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“Underutilized building”</w:t>
      </w:r>
      <w:r>
        <w:rPr>
          <w:rFonts w:ascii="Times New Roman" w:hAnsi="Times New Roman"/>
          <w:b w:val="false"/>
          <w:i w:val="false"/>
          <w:color w:val="000000"/>
          <w:sz w:val="22"/>
        </w:rPr>
        <w:t> </w:t>
      </w:r>
      <w:r>
        <w:rPr>
          <w:rFonts w:ascii="Times New Roman" w:hAnsi="Times New Roman"/>
          <w:b w:val="false"/>
          <w:i w:val="false"/>
          <w:color w:val="000000"/>
          <w:sz w:val="22"/>
        </w:rPr>
        <w:t>means a building that is vacant or mostly vacant, is blighted or severely deteriorated, and contains potential safety hazards including structural instability, code noncompliance, vermin infestation, vandalism or potential for vandalism, vagrancy, hazardous materials, or generally unsafe or hazardous conditions. The building may or may not be considered a public nuisance.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261—45.2</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financial assistance awarded will be determined by the authority based on the total amount of funds available to the authority for the program and based on the project details. Each applicant shall receive no more than one award of financial assistance per project per fiscal year. The maximum amount of financial assistance per applicant per fiscal year shall not exceed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allocate moneys based on population as prescribed in Iowa Code section </w:t>
      </w:r>
      <w:hyperlink r:id="rId11">
        <w:r>
          <w:rPr>
            <w:rStyle w:val="Hyperlink"/>
            <w:rFonts w:ascii="Times New Roman" w:hAnsi="Times New Roman"/>
            <w:b w:val="false"/>
            <w:i w:val="false"/>
            <w:color w:val="000000"/>
            <w:sz w:val="22"/>
          </w:rPr>
          <w:t>15.231(3)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submitting an application under the program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fiscal year during which funding is available, applications for financial assistance other than applications for emergency projects submitted pursuant to paragraph </w:t>
      </w:r>
      <w:hyperlink r:id="rId12">
        <w:r>
          <w:rPr>
            <w:rStyle w:val="Hyperlink"/>
            <w:rFonts w:ascii="Times New Roman" w:hAnsi="Times New Roman"/>
            <w:b w:val="false"/>
            <w:i w:val="false"/>
            <w:color w:val="000000"/>
            <w:sz w:val="22"/>
          </w:rPr>
          <w:t>45.2(2)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only be accepted during the established application period(s) identified by the authority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Cities that identify an emergency project may submit an application for financial assistance at any time. All applications for financial assistance for emergency projects must meet all other requirements of this program and shall be scored using the same criteria as are applied to other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 Failure to use the funds for reimbursement of the costs directly related to a project shall be grounds for default under the agreement entered into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An applicant must meet the following eligibility criteria to qualify for financial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 city. If the project building(s) are owned by an entity other than the city, the city must provide information to the authority regarding ownership and the relationship between the owner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building that constitutes the project must be an underutilized building and a community catalyst as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must include financial or in-kind resources contributed by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complete the application and provide all other information and documents reasonably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Each complete and eligible application will be scored by authority staff using criteria set forth by the authority,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of the project. The authority will take into account the potential economic growth and investment that is reasonably expected to occur as a result of the project. The applicant must provide information demonstrating that the expected economic impact of the project is reasonable based on existing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government support. The level and amount of local government support, including financial support, will be considered for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Readiness. The authority will assess whether the project is well-prepared and ready to begin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 plan and timeline. The authority will assess whether the applicant has prepared a detailed project plan and timeline for the execution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financing. The authority will assess whether the applicant has secured financing and is financially prepared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and its average numerical score will be referred to the director with a recommendation as to whether to fund the project and, if financial assistance is recommended, a recommendation as to the amount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make the final funding decision on each application, taking into consideration the amount of available funding, the average numerical score of the application, and the recommendations made by authority staff. The director may approve, deny, or defer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must receive the average minimum score established by the authority to receive funding. A score exceeding the minimum does not guarantee that the applicant will receive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applicant will be notified in writing of the funding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project that does not receive financial assistance may reapply.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261—45.4</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that is approved for financial assistance under the program shall enter into an agreement with the authority that specifies the terms on which the financial assistance is to be provided, including the terms described in Iowa Code section </w:t>
      </w:r>
      <w:hyperlink r:id="rId13">
        <w:r>
          <w:rPr>
            <w:rStyle w:val="Hyperlink"/>
            <w:rFonts w:ascii="Times New Roman" w:hAnsi="Times New Roman"/>
            <w:b w:val="false"/>
            <w:i w:val="false"/>
            <w:color w:val="000000"/>
            <w:sz w:val="22"/>
          </w:rPr>
          <w:t>15.231(4)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15.231(5)</w:t>
        </w:r>
      </w:hyperlink>
      <w:r>
        <w:rPr>
          <w:rFonts w:ascii="Times New Roman" w:hAnsi="Times New Roman"/>
          <w:b w:val="false"/>
          <w:i w:val="false"/>
          <w:color w:val="000000"/>
          <w:sz w:val="22"/>
        </w:rPr>
        <w:t>. The recipient shall execute the agreement before funds are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written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val="false"/>
          <w:color w:val="000000"/>
          <w:sz w:val="22"/>
        </w:rPr>
        <w:t>An applicant that has been approved for financial assistance under the program shall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3384C</w:t>
      </w:r>
      <w:r>
        <w:rPr>
          <w:rFonts w:ascii="Times New Roman" w:hAnsi="Times New Roman"/>
          <w:b w:val="false"/>
          <w:i w:val="false"/>
          <w:color w:val="000000"/>
          <w:sz w:val="21"/>
        </w:rPr>
        <w:t xml:space="preserve"> (Notice ARC 3256C,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0205D</w:t>
      </w:r>
      <w:r>
        <w:rPr>
          <w:rFonts w:ascii="Times New Roman" w:hAnsi="Times New Roman"/>
          <w:b w:val="false"/>
          <w:i w:val="false"/>
          <w:color w:val="000000"/>
          <w:sz w:val="21"/>
        </w:rPr>
        <w:t xml:space="preserve"> (Notice ARC 9974C, IAB 1/21/26)</w:t>
      </w:r>
      <w:r>
        <w:rPr>
          <w:rFonts w:ascii="Times New Roman" w:hAnsi="Times New Roman"/>
          <w:b w:val="false"/>
          <w:i w:val="false"/>
          <w:color w:val="000000"/>
          <w:sz w:val="21"/>
        </w:rPr>
        <w:t>, IAB 4/15/26, effective 5/20/26]</w:t>
      </w:r>
    </w:p>
    <w:sectPr>
      <w:footerReference r:id="rId1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231.pdf" Type="http://schemas.openxmlformats.org/officeDocument/2006/relationships/hyperlink" Id="rId6"/>
    <Relationship TargetMode="External" Target="https://www.legis.iowa.gov/docs/ico/chapter/15.231.pdf" Type="http://schemas.openxmlformats.org/officeDocument/2006/relationships/hyperlink" Id="rId7"/>
    <Relationship TargetMode="External" Target="https://www.legis.iowa.gov/docs/ico/chapter/657A.1.pdf" Type="http://schemas.openxmlformats.org/officeDocument/2006/relationships/hyperlink" Id="rId8"/>
    <Relationship TargetMode="External" Target="https://www.legis.iowa.gov/docs/ico/chapter/403.2.pdf" Type="http://schemas.openxmlformats.org/officeDocument/2006/relationships/hyperlink" Id="rId9"/>
    <Relationship TargetMode="External" Target="https://www.legis.iowa.gov/docs/ico/chapter/403.2.pdf" Type="http://schemas.openxmlformats.org/officeDocument/2006/relationships/hyperlink" Id="rId10"/>
    <Relationship TargetMode="External" Target="https://www.legis.iowa.gov/docs/ico/chapter/15.231.pdf" Type="http://schemas.openxmlformats.org/officeDocument/2006/relationships/hyperlink" Id="rId11"/>
    <Relationship TargetMode="External" Target="https://www.legis.iowa.gov/docs/iac/rule/261.45.2.pdf" Type="http://schemas.openxmlformats.org/officeDocument/2006/relationships/hyperlink" Id="rId12"/>
    <Relationship TargetMode="External" Target="https://www.legis.iowa.gov/docs/ico/chapter/15.231.pdf" Type="http://schemas.openxmlformats.org/officeDocument/2006/relationships/hyperlink" Id="rId13"/>
    <Relationship TargetMode="External" Target="https://www.legis.iowa.gov/docs/ico/chapter/15.231.pdf" Type="http://schemas.openxmlformats.org/officeDocument/2006/relationships/hyperlink" Id="rId14"/>
    <Relationship TargetMode="External" Target="https://www.legis.iowa.gov/docs/ico/chapter/15.23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