
<file path=[Content_Types].xml><?xml version="1.0" encoding="utf-8"?>
<Types xmlns="http://schemas.openxmlformats.org/package/2006/content-types">
  <Default Extension="rels" ContentType="application/vnd.openxmlformats-package.relationships+xml"/>
  <Override ContentType="application/vnd.openxmlformats-officedocument.extended-properties+xml" PartName="/docProps/app.xml"/>
  <Override ContentType="application/vnd.openxmlformats-package.core-properties+xml" PartName="/docProps/core.xml"/>
  <Override ContentType="application/vnd.openxmlformats-officedocument.wordprocessingml.document.main+xml" PartName="/word/document.xml"/>
  <Override ContentType="application/vnd.openxmlformats-officedocument.wordprocessingml.numbering+xml" PartName="/word/numbering.xml"/>
  <Override ContentType="application/vnd.openxmlformats-officedocument.wordprocessingml.settings+xml" PartName="/word/settings.xml"/>
  <Override ContentType="application/vnd.openxmlformats-officedocument.wordprocessingml.styles+xml" PartName="/word/styles.xml"/>
</Types>
</file>

<file path=_rels/.rels><?xml version="1.0" encoding="UTF-8" standalone="yes"?>
<Relationships xmlns="http://schemas.openxmlformats.org/package/2006/relationships">
    <Relationship Target="word/document.xml" Type="http://schemas.openxmlformats.org/officeDocument/2006/relationships/officeDocument" Id="rId1"/>
    <Relationship Target="docProps/core.xml" Type="http://schemas.openxmlformats.org/package/2006/relationships/metadata/core-properties" Id="rId2"/>
    <Relationship Target="docProps/app.xml" Type="http://schemas.openxmlformats.org/officeDocument/2006/relationships/extended-properties" Id="rId3"/>
</Relationships>

</file>

<file path=word/document.xml><?xml version="1.0" encoding="utf-8"?>
<w:document xmlns:w="http://schemas.openxmlformats.org/wordprocessingml/2006/main" xmlns:m="http://schemas.openxmlformats.org/officeDocument/2006/math" xmlns:w14="http://schemas.microsoft.com/office/word/2010/wordml" xmlns:r="http://schemas.openxmlformats.org/officeDocument/2006/relationships" xmlns:wp="http://schemas.openxmlformats.org/drawingml/2006/wordprocessingDrawing" xmlns:a="http://schemas.openxmlformats.org/drawingml/2006/main" xmlns:wp14="http://schemas.microsoft.com/office/word/2010/wordprocessingDrawing" xmlns:w15="http://schemas.microsoft.com/office/word/2012/wordml" xmlns:mc="http://schemas.openxmlformats.org/markup-compatibility/2006" xmlns:a14="http://schemas.microsoft.com/office/drawing/2010/main" xmlns:sl="http://schemas.openxmlformats.org/schemaLibrary/2006/main" xmlns:wne="http://schemas.microsoft.com/office/word/2006/wordml" xmlns:c="http://schemas.openxmlformats.org/drawingml/2006/chart" xmlns:cdr="http://schemas.openxmlformats.org/drawingml/2006/chartDrawing" xmlns:c14="http://schemas.microsoft.com/office/drawing/2007/8/2/chart" xmlns:dgm="http://schemas.openxmlformats.org/drawingml/2006/diagram" xmlns:pic="http://schemas.openxmlformats.org/drawingml/2006/picture" xmlns:xdr="http://schemas.openxmlformats.org/drawingml/2006/spreadsheetDrawing" xmlns:dsp="http://schemas.microsoft.com/office/drawing/2008/diagram" xmlns:xvml="urn:schemas-microsoft-com:office:excel" xmlns:o="urn:schemas-microsoft-com:office:office" xmlns:v="urn:schemas-microsoft-com:vml" xmlns:w10="urn:schemas-microsoft-com:office:word" xmlns:pvml="urn:schemas-microsoft-com:office:powerpoint" xmlns:cppr="http://schemas.microsoft.com/office/2006/coverPageProps" xmlns:odx="http://opendope.org/xpaths" xmlns:odc="http://opendope.org/conditions" xmlns:odq="http://opendope.org/questions" xmlns:oda="http://opendope.org/answers" xmlns:odi="http://opendope.org/components" xmlns:odgm="http://opendope.org/SmartArt/DataHierarchy" xmlns:b="http://schemas.openxmlformats.org/officeDocument/2006/bibliography" xmlns:msink="http://schemas.microsoft.com/ink/2010/main" xmlns:cdr14="http://schemas.microsoft.com/office/drawing/2010/chartDrawing" xmlns:c15="http://schemas.microsoft.com/office/drawing/2012/chart" xmlns:cs="http://schemas.microsoft.com/office/drawing/2012/chartStyle" xmlns:ns38="http://www.w3.org/1998/Math/MathML" xmlns:ns39="http://www.w3.org/2003/InkML" xmlns:a13cmd="http://schemas.microsoft.com/office/drawing/2013/main/command" xmlns:cx="http://schemas.microsoft.com/office/drawing/2014/chartex" xmlns:c16="http://schemas.microsoft.com/office/drawing/2014/chart" xmlns:dgm1611="http://schemas.microsoft.com/office/drawing/2016/11/diagram" xmlns:c173="http://schemas.microsoft.com/office/drawing/2017/03/chart" xmlns:am3d="http://schemas.microsoft.com/office/drawing/2017/model3d" xmlns:an18="http://schemas.microsoft.com/office/drawing/2018/animation" xmlns:anam3d="http://schemas.microsoft.com/office/drawing/2018/animation/model3d" xmlns:iact="http://schemas.microsoft.com/office/powerpoint/2014/inkAction" xmlns:thm15="http://schemas.microsoft.com/office/thememl/2012/main" xmlns:wps="http://schemas.microsoft.com/office/word/2010/wordprocessingShape" xmlns:wpc="http://schemas.microsoft.com/office/word/2010/wordprocessingCanvas" xmlns:wpg="http://schemas.microsoft.com/office/word/2010/wordprocessingGroup" xmlns:w16se="http://schemas.microsoft.com/office/word/2015/wordml/symex" xmlns:w16cid="http://schemas.microsoft.com/office/word/2016/wordml/cid" xmlns:wetp="http://schemas.microsoft.com/office/webextensions/taskpanes/2010/11" xmlns:we="http://schemas.microsoft.com/office/webextensions/webextension/2010/11" xmlns:comp="http://schemas.openxmlformats.org/drawingml/2006/compatibility" xmlns:lc="http://schemas.openxmlformats.org/drawingml/2006/lockedCanvas" xmlns:dgm14="http://schemas.microsoft.com/office/drawing/2010/diagram" xmlns:a15="http://schemas.microsoft.com/office/drawing/2012/main" xmlns:pic14="http://schemas.microsoft.com/office/drawing/2010/picture" xmlns:c16ac="http://schemas.microsoft.com/office/drawing/2014/chart/ac" xmlns:a16="http://schemas.microsoft.com/office/drawing/2014/main" xmlns:a1611="http://schemas.microsoft.com/office/drawing/2016/11/main" xmlns:dgm1612="http://schemas.microsoft.com/office/drawing/2016/12/diagram" xmlns:a16svg="http://schemas.microsoft.com/office/drawing/2016/SVG/main" xmlns:adec="http://schemas.microsoft.com/office/drawing/2017/decorative" xmlns:a18hc="http://schemas.microsoft.com/office/drawing/2018/hyperlinkcolor" xmlns:wp15="http://schemas.microsoft.com/office/word/2012/wordprocessingDrawing">
  <w:body>
    <!-- Created by docx4j 8.3.11 (Apache licensed) using REFERENCE JAXB in Temurin Java 1.8.0_382 on Windows Server 2016 -->
    <w:p>
      <w:pPr>
        <w:spacing w:before="0" w:after="0"/>
        <w:ind w:left="120"/>
        <w:jc w:val="center"/>
      </w:pPr>
      <w:r>
        <w:rPr>
          <w:rFonts w:ascii="Times New Roman" w:hAnsi="Times New Roman"/>
          <w:b w:val="false"/>
          <w:i w:val="false"/>
          <w:color w:val="000000"/>
          <w:sz w:val="21"/>
        </w:rPr>
        <w:t xml:space="preserve">CHAPTER </w:t>
      </w:r>
      <w:r>
        <w:rPr>
          <w:rFonts w:ascii="Times New Roman" w:hAnsi="Times New Roman"/>
          <w:b w:val="false"/>
          <w:i w:val="false"/>
          <w:color w:val="000000"/>
          <w:sz w:val="21"/>
        </w:rPr>
        <w:t>42</w:t>
      </w:r>
    </w:p>
    <w:p>
      <w:pPr>
        <w:spacing w:before="0" w:after="0"/>
        <w:ind w:left="120"/>
        <w:jc w:val="center"/>
      </w:pPr>
      <w:r>
        <w:rPr>
          <w:rFonts w:ascii="Times New Roman" w:hAnsi="Times New Roman"/>
          <w:b w:val="false"/>
          <w:i w:val="false"/>
          <w:color w:val="000000"/>
          <w:sz w:val="21"/>
        </w:rPr>
        <w:t>IOWA TOURISM GRANT PROGRAM</w:t>
      </w:r>
    </w:p>
    <w:p>
      <w:pPr>
        <w:pBdr>
          <w:top w:space="10"/>
        </w:pBdr>
        <w:spacing w:before="0" w:after="0"/>
        <w:ind w:left="120"/>
        <w:jc w:val="center"/>
      </w:pPr>
      <w:r>
        <w:rPr>
          <w:rFonts w:ascii="Times New Roman" w:hAnsi="Times New Roman"/>
          <w:b w:val="false"/>
          <w:i w:val="false"/>
          <w:color w:val="000000"/>
          <w:sz w:val="22"/>
        </w:rPr>
        <w:t xml:space="preserve">Chapter rescission date pursuant to Iowa Code section </w:t>
      </w:r>
      <w:hyperlink r:id="rId4">
        <w:r>
          <w:rPr>
            <w:rStyle w:val="Hyperlink"/>
            <w:rFonts w:ascii="Times New Roman" w:hAnsi="Times New Roman"/>
            <w:b w:val="false"/>
            <w:i w:val="false"/>
            <w:color w:val="000000"/>
            <w:sz w:val="22"/>
          </w:rPr>
          <w:t>17A.7</w:t>
        </w:r>
      </w:hyperlink>
      <w:r>
        <w:rPr>
          <w:rFonts w:ascii="Times New Roman" w:hAnsi="Times New Roman"/>
          <w:b w:val="false"/>
          <w:i w:val="false"/>
          <w:color w:val="000000"/>
          <w:sz w:val="22"/>
        </w:rPr>
        <w:t xml:space="preserve">: </w:t>
      </w:r>
      <w:r>
        <w:rPr>
          <w:rFonts w:ascii="Times New Roman" w:hAnsi="Times New Roman"/>
          <w:b w:val="false"/>
          <w:i w:val="false"/>
          <w:color w:val="000000"/>
          <w:sz w:val="22"/>
        </w:rPr>
        <w:t>7/2/30</w:t>
      </w:r>
    </w:p>
    <w:p>
      <w:pPr>
        <w:spacing w:before="0" w:after="0"/>
        <w:ind w:left="120"/>
        <w:jc w:val="both"/>
      </w:pPr>
      <w:r>
        <w:rPr>
          <w:rFonts w:ascii="Times New Roman" w:hAnsi="Times New Roman"/>
          <w:b/>
          <w:i w:val="false"/>
          <w:color w:val="000000"/>
          <w:sz w:val="22"/>
        </w:rPr>
        <w:t>261—42.1</w:t>
      </w:r>
      <w:r>
        <w:rPr>
          <w:rFonts w:ascii="Times New Roman" w:hAnsi="Times New Roman"/>
          <w:b/>
          <w:i w:val="false"/>
          <w:color w:val="000000"/>
          <w:sz w:val="22"/>
        </w:rPr>
        <w:t xml:space="preserve">(15) </w:t>
      </w:r>
      <w:r>
        <w:rPr>
          <w:rFonts w:ascii="Times New Roman" w:hAnsi="Times New Roman"/>
          <w:b/>
          <w:i w:val="false"/>
          <w:color w:val="000000"/>
          <w:sz w:val="22"/>
        </w:rPr>
        <w:t xml:space="preserve">Definitions. </w:t>
      </w:r>
      <w:r>
        <w:rPr>
          <w:rFonts w:ascii="Times New Roman" w:hAnsi="Times New Roman"/>
          <w:b w:val="false"/>
          <w:i w:val="false"/>
          <w:color w:val="000000"/>
          <w:sz w:val="22"/>
        </w:rPr>
        <w:t>For the purposes of this chapter, unless the context otherwise requires, the following definitions apply:</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 xml:space="preserve">“Authority” </w:t>
      </w:r>
      <w:r>
        <w:rPr>
          <w:rFonts w:ascii="Times New Roman" w:hAnsi="Times New Roman"/>
          <w:b w:val="false"/>
          <w:i w:val="false"/>
          <w:color w:val="000000"/>
          <w:sz w:val="22"/>
        </w:rPr>
        <w:t xml:space="preserve">means the economic development authority created in Iowa Code section </w:t>
      </w:r>
      <w:hyperlink r:id="rId5">
        <w:r>
          <w:rPr>
            <w:rStyle w:val="Hyperlink"/>
            <w:rFonts w:ascii="Times New Roman" w:hAnsi="Times New Roman"/>
            <w:b w:val="false"/>
            <w:i w:val="false"/>
            <w:color w:val="000000"/>
            <w:sz w:val="22"/>
          </w:rPr>
          <w:t>15.105</w:t>
        </w:r>
      </w:hyperlink>
      <w:r>
        <w:rPr>
          <w:rFonts w:ascii="Times New Roman" w:hAnsi="Times New Roman"/>
          <w:b w:val="false"/>
          <w:i w:val="false"/>
          <w:color w:val="000000"/>
          <w:sz w:val="22"/>
        </w:rPr>
        <w:t>.</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 xml:space="preserve">“Collaborative application” </w:t>
      </w:r>
      <w:r>
        <w:rPr>
          <w:rFonts w:ascii="Times New Roman" w:hAnsi="Times New Roman"/>
          <w:b w:val="false"/>
          <w:i w:val="false"/>
          <w:color w:val="000000"/>
          <w:sz w:val="22"/>
        </w:rPr>
        <w:t>means an application in which multiple partners are providing monetary support for the project.</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 xml:space="preserve">“Head applicant” </w:t>
      </w:r>
      <w:r>
        <w:rPr>
          <w:rFonts w:ascii="Times New Roman" w:hAnsi="Times New Roman"/>
          <w:b w:val="false"/>
          <w:i w:val="false"/>
          <w:color w:val="000000"/>
          <w:sz w:val="22"/>
        </w:rPr>
        <w:t>means the applicant on a collaborative application that is both the recipient of the funds and the administrator of the project.</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 xml:space="preserve">“Marketing” </w:t>
      </w:r>
      <w:r>
        <w:rPr>
          <w:rFonts w:ascii="Times New Roman" w:hAnsi="Times New Roman"/>
          <w:b w:val="false"/>
          <w:i w:val="false"/>
          <w:color w:val="000000"/>
          <w:sz w:val="22"/>
        </w:rPr>
        <w:t>means planning for or implementing efforts to publicize a community, event or destination using a range of strategies, tools and tactics.</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 xml:space="preserve">“Meetings and events” </w:t>
      </w:r>
      <w:r>
        <w:rPr>
          <w:rFonts w:ascii="Times New Roman" w:hAnsi="Times New Roman"/>
          <w:b w:val="false"/>
          <w:i w:val="false"/>
          <w:color w:val="000000"/>
          <w:sz w:val="22"/>
        </w:rPr>
        <w:t>means regional or national tourism-related meetings and conventions or local festivals or similar tourism events that positively impact local and state economies.</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 xml:space="preserve">“Project” </w:t>
      </w:r>
      <w:r>
        <w:rPr>
          <w:rFonts w:ascii="Times New Roman" w:hAnsi="Times New Roman"/>
          <w:b w:val="false"/>
          <w:i w:val="false"/>
          <w:color w:val="000000"/>
          <w:sz w:val="22"/>
        </w:rPr>
        <w:t>means a tourism-related marketing initiative, meeting or event that benefits both state and local economies.</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 xml:space="preserve">“Tourism” </w:t>
      </w:r>
      <w:r>
        <w:rPr>
          <w:rFonts w:ascii="Times New Roman" w:hAnsi="Times New Roman"/>
          <w:b w:val="false"/>
          <w:i w:val="false"/>
          <w:color w:val="000000"/>
          <w:sz w:val="22"/>
        </w:rPr>
        <w:t>means attracting people from beyond a 50-mile radius or people who spend the night away from home to visit a site or event.</w:t>
      </w:r>
    </w:p>
    <w:p>
      <w:pPr>
        <w:spacing w:before="0" w:after="0" w:line="240"/>
        <w:ind w:left="120"/>
        <w:jc w:val="both"/>
      </w:pPr>
      <w:r>
        <w:rPr>
          <w:rFonts w:ascii="Times New Roman" w:hAnsi="Times New Roman"/>
          <w:b w:val="false"/>
          <w:i w:val="false"/>
          <w:color w:val="000000"/>
          <w:sz w:val="16"/>
        </w:rPr>
        <w:t>[</w:t>
      </w:r>
      <w:r>
        <w:rPr>
          <w:rFonts w:ascii="Times New Roman" w:hAnsi="Times New Roman"/>
          <w:b/>
          <w:i w:val="false"/>
          <w:color w:val="000000"/>
          <w:sz w:val="16"/>
        </w:rPr>
        <w:t>ARC 9303C</w:t>
      </w:r>
      <w:r>
        <w:rPr>
          <w:rFonts w:ascii="Times New Roman" w:hAnsi="Times New Roman"/>
          <w:b w:val="false"/>
          <w:i w:val="false"/>
          <w:color w:val="000000"/>
          <w:sz w:val="16"/>
        </w:rPr>
        <w:t>, IAB 5/28/25, effective 7/2/25</w:t>
      </w:r>
      <w:r>
        <w:rPr>
          <w:rFonts w:ascii="Times New Roman" w:hAnsi="Times New Roman"/>
          <w:b w:val="false"/>
          <w:i w:val="false"/>
          <w:color w:val="000000"/>
          <w:sz w:val="16"/>
        </w:rPr>
        <w:t>]</w:t>
      </w:r>
    </w:p>
    <w:p>
      <w:pPr>
        <w:spacing w:before="0" w:after="0"/>
        <w:ind w:left="120"/>
        <w:jc w:val="both"/>
      </w:pPr>
      <w:r>
        <w:rPr>
          <w:rFonts w:ascii="Times New Roman" w:hAnsi="Times New Roman"/>
          <w:b/>
          <w:i w:val="false"/>
          <w:color w:val="000000"/>
          <w:sz w:val="22"/>
        </w:rPr>
        <w:t>261—42.2</w:t>
      </w:r>
      <w:r>
        <w:rPr>
          <w:rFonts w:ascii="Times New Roman" w:hAnsi="Times New Roman"/>
          <w:b/>
          <w:i w:val="false"/>
          <w:color w:val="000000"/>
          <w:sz w:val="22"/>
        </w:rPr>
        <w:t xml:space="preserve">(15) </w:t>
      </w:r>
      <w:r>
        <w:rPr>
          <w:rFonts w:ascii="Times New Roman" w:hAnsi="Times New Roman"/>
          <w:b/>
          <w:i w:val="false"/>
          <w:color w:val="000000"/>
          <w:sz w:val="22"/>
        </w:rPr>
        <w:t xml:space="preserve">Program description. </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42.2(1)</w:t>
      </w:r>
      <w:r>
        <w:rPr>
          <w:rFonts w:ascii="Times New Roman" w:hAnsi="Times New Roman"/>
          <w:b w:val="false"/>
          <w:i w:val="false"/>
          <w:color w:val="000000"/>
          <w:sz w:val="22"/>
        </w:rPr>
        <w:t> </w:t>
      </w:r>
      <w:r>
        <w:rPr>
          <w:rFonts w:ascii="Times New Roman" w:hAnsi="Times New Roman"/>
          <w:b w:val="false"/>
          <w:i w:val="false"/>
          <w:color w:val="000000"/>
          <w:sz w:val="22"/>
        </w:rPr>
        <w:t xml:space="preserve">The authority will accept competitive applications for tourism-related projects in each fiscal year in which funding is available. The authority will award grants to projects based on the criteria described in subrule </w:t>
      </w:r>
      <w:hyperlink r:id="rId6">
        <w:r>
          <w:rPr>
            <w:rStyle w:val="Hyperlink"/>
            <w:rFonts w:ascii="Times New Roman" w:hAnsi="Times New Roman"/>
            <w:b w:val="false"/>
            <w:i w:val="false"/>
            <w:color w:val="000000"/>
            <w:sz w:val="22"/>
          </w:rPr>
          <w:t>42.4(1)</w:t>
        </w:r>
      </w:hyperlink>
      <w:r>
        <w:rPr>
          <w:rFonts w:ascii="Times New Roman" w:hAnsi="Times New Roman"/>
          <w:b w:val="false"/>
          <w:i w:val="false"/>
          <w:color w:val="000000"/>
          <w:sz w:val="22"/>
        </w:rPr>
        <w:t xml:space="preserve"> and in a manner designed to prioritize those projects that provide the greatest benefit to state and local economies.</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42.2(2)</w:t>
      </w:r>
      <w:r>
        <w:rPr>
          <w:rFonts w:ascii="Times New Roman" w:hAnsi="Times New Roman"/>
          <w:b w:val="false"/>
          <w:i w:val="false"/>
          <w:color w:val="000000"/>
          <w:sz w:val="22"/>
        </w:rPr>
        <w:t> </w:t>
      </w:r>
      <w:r>
        <w:rPr>
          <w:rFonts w:ascii="Times New Roman" w:hAnsi="Times New Roman"/>
          <w:b w:val="false"/>
          <w:i w:val="false"/>
          <w:color w:val="000000"/>
          <w:sz w:val="22"/>
        </w:rPr>
        <w:t>The authority will establish a maximum grant award per application and a minimum grant award per application for each fiscal year in which funding is available.</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42.2(3)</w:t>
      </w:r>
      <w:r>
        <w:rPr>
          <w:rFonts w:ascii="Times New Roman" w:hAnsi="Times New Roman"/>
          <w:b w:val="false"/>
          <w:i w:val="false"/>
          <w:color w:val="000000"/>
          <w:sz w:val="22"/>
        </w:rPr>
        <w:t> </w:t>
      </w:r>
      <w:r>
        <w:rPr>
          <w:rFonts w:ascii="Times New Roman" w:hAnsi="Times New Roman"/>
          <w:b w:val="false"/>
          <w:i w:val="false"/>
          <w:color w:val="000000"/>
          <w:sz w:val="22"/>
        </w:rPr>
        <w:t>The authority will make awards based on the total amount of funding available each fiscal year. Funds will be awarded for expenditures that are directly related to the implementation of an eligible project.</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42.2(4)</w:t>
      </w:r>
      <w:r>
        <w:rPr>
          <w:rFonts w:ascii="Times New Roman" w:hAnsi="Times New Roman"/>
          <w:b w:val="false"/>
          <w:i w:val="false"/>
          <w:color w:val="000000"/>
          <w:sz w:val="22"/>
        </w:rPr>
        <w:t> </w:t>
      </w:r>
      <w:r>
        <w:rPr>
          <w:rFonts w:ascii="Times New Roman" w:hAnsi="Times New Roman"/>
          <w:b w:val="false"/>
          <w:i w:val="false"/>
          <w:color w:val="000000"/>
          <w:sz w:val="22"/>
        </w:rPr>
        <w:t>An applicant may submit one application each fiscal year. If the application submitted by the applicant is a collaborative application, it will be counted as the head applicant’s application for the fiscal year.</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42.2(5)</w:t>
      </w:r>
      <w:r>
        <w:rPr>
          <w:rFonts w:ascii="Times New Roman" w:hAnsi="Times New Roman"/>
          <w:b w:val="false"/>
          <w:i w:val="false"/>
          <w:color w:val="000000"/>
          <w:sz w:val="22"/>
        </w:rPr>
        <w:t> </w:t>
      </w:r>
      <w:r>
        <w:rPr>
          <w:rFonts w:ascii="Times New Roman" w:hAnsi="Times New Roman"/>
          <w:b w:val="false"/>
          <w:i w:val="false"/>
          <w:color w:val="000000"/>
          <w:sz w:val="22"/>
        </w:rPr>
        <w:t>An applicant that has received an Iowa tourism grant award in the prior fiscal year cannot submit an application for a substantially similar project in the following fiscal year. If an applicant does submit an application for a substantially similar project in the following fiscal year, the project will be deemed ineligible and the application will not be reviewed or scored. Whether a project is substantially similar will be determined by the authority.</w:t>
      </w:r>
    </w:p>
    <w:p>
      <w:pPr>
        <w:spacing w:before="0" w:after="0" w:line="240"/>
        <w:ind w:left="120"/>
        <w:jc w:val="both"/>
      </w:pPr>
      <w:r>
        <w:rPr>
          <w:rFonts w:ascii="Times New Roman" w:hAnsi="Times New Roman"/>
          <w:b w:val="false"/>
          <w:i w:val="false"/>
          <w:color w:val="000000"/>
          <w:sz w:val="16"/>
        </w:rPr>
        <w:t>[</w:t>
      </w:r>
      <w:r>
        <w:rPr>
          <w:rFonts w:ascii="Times New Roman" w:hAnsi="Times New Roman"/>
          <w:b/>
          <w:i w:val="false"/>
          <w:color w:val="000000"/>
          <w:sz w:val="16"/>
        </w:rPr>
        <w:t>ARC 9303C</w:t>
      </w:r>
      <w:r>
        <w:rPr>
          <w:rFonts w:ascii="Times New Roman" w:hAnsi="Times New Roman"/>
          <w:b w:val="false"/>
          <w:i w:val="false"/>
          <w:color w:val="000000"/>
          <w:sz w:val="16"/>
        </w:rPr>
        <w:t>, IAB 5/28/25, effective 7/2/25</w:t>
      </w:r>
      <w:r>
        <w:rPr>
          <w:rFonts w:ascii="Times New Roman" w:hAnsi="Times New Roman"/>
          <w:b w:val="false"/>
          <w:i w:val="false"/>
          <w:color w:val="000000"/>
          <w:sz w:val="16"/>
        </w:rPr>
        <w:t>]</w:t>
      </w:r>
    </w:p>
    <w:p>
      <w:pPr>
        <w:spacing w:before="0" w:after="0"/>
        <w:ind w:left="120"/>
        <w:jc w:val="both"/>
      </w:pPr>
      <w:r>
        <w:rPr>
          <w:rFonts w:ascii="Times New Roman" w:hAnsi="Times New Roman"/>
          <w:b/>
          <w:i w:val="false"/>
          <w:color w:val="000000"/>
          <w:sz w:val="22"/>
        </w:rPr>
        <w:t>261—42.3</w:t>
      </w:r>
      <w:r>
        <w:rPr>
          <w:rFonts w:ascii="Times New Roman" w:hAnsi="Times New Roman"/>
          <w:b/>
          <w:i w:val="false"/>
          <w:color w:val="000000"/>
          <w:sz w:val="22"/>
        </w:rPr>
        <w:t xml:space="preserve">(15) </w:t>
      </w:r>
      <w:r>
        <w:rPr>
          <w:rFonts w:ascii="Times New Roman" w:hAnsi="Times New Roman"/>
          <w:b/>
          <w:i w:val="false"/>
          <w:color w:val="000000"/>
          <w:sz w:val="22"/>
        </w:rPr>
        <w:t xml:space="preserve">Program eligibility and application requirements. </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42.3(1)</w:t>
      </w:r>
      <w:r>
        <w:rPr>
          <w:rFonts w:ascii="Times New Roman" w:hAnsi="Times New Roman"/>
          <w:b w:val="false"/>
          <w:i w:val="false"/>
          <w:color w:val="000000"/>
          <w:sz w:val="22"/>
        </w:rPr>
        <w:t> </w:t>
      </w:r>
      <w:r>
        <w:rPr>
          <w:rFonts w:ascii="Times New Roman" w:hAnsi="Times New Roman"/>
          <w:b w:val="false"/>
          <w:i/>
          <w:color w:val="000000"/>
          <w:sz w:val="22"/>
        </w:rPr>
        <w:t xml:space="preserve">Eligibility. </w:t>
      </w:r>
      <w:r>
        <w:rPr>
          <w:rFonts w:ascii="Times New Roman" w:hAnsi="Times New Roman"/>
          <w:b w:val="false"/>
          <w:i w:val="false"/>
          <w:color w:val="000000"/>
          <w:sz w:val="22"/>
        </w:rPr>
        <w:t>To be eligible under the program, an applicant shall meet all of the following requirements:</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a.</w:t>
      </w:r>
      <w:r>
        <w:rPr>
          <w:rFonts w:ascii="Times New Roman" w:hAnsi="Times New Roman"/>
          <w:b w:val="false"/>
          <w:i w:val="false"/>
          <w:color w:val="000000"/>
          <w:sz w:val="22"/>
        </w:rPr>
        <w:t>  </w:t>
      </w:r>
      <w:r>
        <w:rPr>
          <w:rFonts w:ascii="Times New Roman" w:hAnsi="Times New Roman"/>
          <w:b w:val="false"/>
          <w:i w:val="false"/>
          <w:color w:val="000000"/>
          <w:sz w:val="22"/>
        </w:rPr>
        <w:t>The applicant must be a tourism-related entity based in the state of Iowa, including a nonprofit or for-profit organization, city, county, or regional government or planning entity.</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b.</w:t>
      </w:r>
      <w:r>
        <w:rPr>
          <w:rFonts w:ascii="Times New Roman" w:hAnsi="Times New Roman"/>
          <w:b w:val="false"/>
          <w:i w:val="false"/>
          <w:color w:val="000000"/>
          <w:sz w:val="22"/>
        </w:rPr>
        <w:t>  </w:t>
      </w:r>
      <w:r>
        <w:rPr>
          <w:rFonts w:ascii="Times New Roman" w:hAnsi="Times New Roman"/>
          <w:b w:val="false"/>
          <w:i w:val="false"/>
          <w:color w:val="000000"/>
          <w:sz w:val="22"/>
        </w:rPr>
        <w:t xml:space="preserve">The applicant must demonstrate an amount of local match equal to at least 20 percent of the total project costs to be incurred by the applicant. The local match shall be in the form of cash. Other state sources of funds shall not qualify as local match. The local match must be spent on eligible expenses as described in rule </w:t>
      </w:r>
      <w:hyperlink r:id="rId7">
        <w:r>
          <w:rPr>
            <w:rStyle w:val="Hyperlink"/>
            <w:rFonts w:ascii="Times New Roman" w:hAnsi="Times New Roman"/>
            <w:b w:val="false"/>
            <w:i w:val="false"/>
            <w:color w:val="000000"/>
            <w:sz w:val="22"/>
          </w:rPr>
          <w:t>261—42.6</w:t>
        </w:r>
      </w:hyperlink>
      <w:r>
        <w:rPr>
          <w:rFonts w:ascii="Times New Roman" w:hAnsi="Times New Roman"/>
          <w:b w:val="false"/>
          <w:i w:val="false"/>
          <w:color w:val="000000"/>
          <w:sz w:val="22"/>
        </w:rPr>
        <w:t>(15).</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c.</w:t>
      </w:r>
      <w:r>
        <w:rPr>
          <w:rFonts w:ascii="Times New Roman" w:hAnsi="Times New Roman"/>
          <w:b w:val="false"/>
          <w:i w:val="false"/>
          <w:color w:val="000000"/>
          <w:sz w:val="22"/>
        </w:rPr>
        <w:t>  </w:t>
      </w:r>
      <w:r>
        <w:rPr>
          <w:rFonts w:ascii="Times New Roman" w:hAnsi="Times New Roman"/>
          <w:b w:val="false"/>
          <w:i w:val="false"/>
          <w:color w:val="000000"/>
          <w:sz w:val="22"/>
        </w:rPr>
        <w:t xml:space="preserve">The applicant must submit a completed application, including all of the information described in subrule </w:t>
      </w:r>
      <w:hyperlink r:id="rId8">
        <w:r>
          <w:rPr>
            <w:rStyle w:val="Hyperlink"/>
            <w:rFonts w:ascii="Times New Roman" w:hAnsi="Times New Roman"/>
            <w:b w:val="false"/>
            <w:i w:val="false"/>
            <w:color w:val="000000"/>
            <w:sz w:val="22"/>
          </w:rPr>
          <w:t>42.3(2)</w:t>
        </w:r>
      </w:hyperlink>
      <w:r>
        <w:rPr>
          <w:rFonts w:ascii="Times New Roman" w:hAnsi="Times New Roman"/>
          <w:b w:val="false"/>
          <w:i w:val="false"/>
          <w:color w:val="000000"/>
          <w:sz w:val="22"/>
        </w:rPr>
        <w:t>, by the deadline established by the authority on its website.</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42.3(2)</w:t>
      </w:r>
      <w:r>
        <w:rPr>
          <w:rFonts w:ascii="Times New Roman" w:hAnsi="Times New Roman"/>
          <w:b w:val="false"/>
          <w:i w:val="false"/>
          <w:color w:val="000000"/>
          <w:sz w:val="22"/>
        </w:rPr>
        <w:t> </w:t>
      </w:r>
      <w:r>
        <w:rPr>
          <w:rFonts w:ascii="Times New Roman" w:hAnsi="Times New Roman"/>
          <w:b w:val="false"/>
          <w:i/>
          <w:color w:val="000000"/>
          <w:sz w:val="22"/>
        </w:rPr>
        <w:t xml:space="preserve">Application requirements. </w:t>
      </w:r>
      <w:r>
        <w:rPr>
          <w:rFonts w:ascii="Times New Roman" w:hAnsi="Times New Roman"/>
          <w:b w:val="false"/>
          <w:i w:val="false"/>
          <w:color w:val="000000"/>
          <w:sz w:val="22"/>
        </w:rPr>
        <w:t>When submitting an application for grant funds under the program, an applicant shall include all of the following information:</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a.</w:t>
      </w:r>
      <w:r>
        <w:rPr>
          <w:rFonts w:ascii="Times New Roman" w:hAnsi="Times New Roman"/>
          <w:b w:val="false"/>
          <w:i w:val="false"/>
          <w:color w:val="000000"/>
          <w:sz w:val="22"/>
        </w:rPr>
        <w:t>  </w:t>
      </w:r>
      <w:r>
        <w:rPr>
          <w:rFonts w:ascii="Times New Roman" w:hAnsi="Times New Roman"/>
          <w:b w:val="false"/>
          <w:i w:val="false"/>
          <w:color w:val="000000"/>
          <w:sz w:val="22"/>
        </w:rPr>
        <w:t>The applicant’s name, mailing address, email address, telephone number, contact person, and federal employer identification number. If the application is a collaborative application, the head applicant shall identify itself and provide the names of all partner applicants.</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b.</w:t>
      </w:r>
      <w:r>
        <w:rPr>
          <w:rFonts w:ascii="Times New Roman" w:hAnsi="Times New Roman"/>
          <w:b w:val="false"/>
          <w:i w:val="false"/>
          <w:color w:val="000000"/>
          <w:sz w:val="22"/>
        </w:rPr>
        <w:t>  </w:t>
      </w:r>
      <w:r>
        <w:rPr>
          <w:rFonts w:ascii="Times New Roman" w:hAnsi="Times New Roman"/>
          <w:b w:val="false"/>
          <w:i w:val="false"/>
          <w:color w:val="000000"/>
          <w:sz w:val="22"/>
        </w:rPr>
        <w:t>A detailed description of the project.</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c.</w:t>
      </w:r>
      <w:r>
        <w:rPr>
          <w:rFonts w:ascii="Times New Roman" w:hAnsi="Times New Roman"/>
          <w:b w:val="false"/>
          <w:i w:val="false"/>
          <w:color w:val="000000"/>
          <w:sz w:val="22"/>
        </w:rPr>
        <w:t>  </w:t>
      </w:r>
      <w:r>
        <w:rPr>
          <w:rFonts w:ascii="Times New Roman" w:hAnsi="Times New Roman"/>
          <w:b w:val="false"/>
          <w:i w:val="false"/>
          <w:color w:val="000000"/>
          <w:sz w:val="22"/>
        </w:rPr>
        <w:t>Written documentation of the project costs, including but not limited to advertising rate sheets, bids, quotes, and invoices.</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d.</w:t>
      </w:r>
      <w:r>
        <w:rPr>
          <w:rFonts w:ascii="Times New Roman" w:hAnsi="Times New Roman"/>
          <w:b w:val="false"/>
          <w:i w:val="false"/>
          <w:color w:val="000000"/>
          <w:sz w:val="22"/>
        </w:rPr>
        <w:t>  </w:t>
      </w:r>
      <w:r>
        <w:rPr>
          <w:rFonts w:ascii="Times New Roman" w:hAnsi="Times New Roman"/>
          <w:b w:val="false"/>
          <w:i w:val="false"/>
          <w:color w:val="000000"/>
          <w:sz w:val="22"/>
        </w:rPr>
        <w:t>Written documentation establishing the amount and source of the required local cash match.</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e.</w:t>
      </w:r>
      <w:r>
        <w:rPr>
          <w:rFonts w:ascii="Times New Roman" w:hAnsi="Times New Roman"/>
          <w:b w:val="false"/>
          <w:i w:val="false"/>
          <w:color w:val="000000"/>
          <w:sz w:val="22"/>
        </w:rPr>
        <w:t>  </w:t>
      </w:r>
      <w:r>
        <w:rPr>
          <w:rFonts w:ascii="Times New Roman" w:hAnsi="Times New Roman"/>
          <w:b w:val="false"/>
          <w:i w:val="false"/>
          <w:color w:val="000000"/>
          <w:sz w:val="22"/>
        </w:rPr>
        <w:t>Detailed information sufficient to enable the authority to accurately assess the impact and quality of the project.</w:t>
      </w:r>
    </w:p>
    <w:p>
      <w:pPr>
        <w:spacing w:before="0" w:after="0" w:line="240"/>
        <w:ind w:left="120"/>
        <w:jc w:val="both"/>
      </w:pPr>
      <w:r>
        <w:rPr>
          <w:rFonts w:ascii="Times New Roman" w:hAnsi="Times New Roman"/>
          <w:b w:val="false"/>
          <w:i w:val="false"/>
          <w:color w:val="000000"/>
          <w:sz w:val="16"/>
        </w:rPr>
        <w:t>[</w:t>
      </w:r>
      <w:r>
        <w:rPr>
          <w:rFonts w:ascii="Times New Roman" w:hAnsi="Times New Roman"/>
          <w:b/>
          <w:i w:val="false"/>
          <w:color w:val="000000"/>
          <w:sz w:val="16"/>
        </w:rPr>
        <w:t>ARC 9303C</w:t>
      </w:r>
      <w:r>
        <w:rPr>
          <w:rFonts w:ascii="Times New Roman" w:hAnsi="Times New Roman"/>
          <w:b w:val="false"/>
          <w:i w:val="false"/>
          <w:color w:val="000000"/>
          <w:sz w:val="16"/>
        </w:rPr>
        <w:t>, IAB 5/28/25, effective 7/2/25</w:t>
      </w:r>
      <w:r>
        <w:rPr>
          <w:rFonts w:ascii="Times New Roman" w:hAnsi="Times New Roman"/>
          <w:b w:val="false"/>
          <w:i w:val="false"/>
          <w:color w:val="000000"/>
          <w:sz w:val="16"/>
        </w:rPr>
        <w:t>]</w:t>
      </w:r>
    </w:p>
    <w:p>
      <w:pPr>
        <w:spacing w:before="0" w:after="0"/>
        <w:ind w:left="120"/>
        <w:jc w:val="both"/>
      </w:pPr>
      <w:r>
        <w:rPr>
          <w:rFonts w:ascii="Times New Roman" w:hAnsi="Times New Roman"/>
          <w:b/>
          <w:i w:val="false"/>
          <w:color w:val="000000"/>
          <w:sz w:val="22"/>
        </w:rPr>
        <w:t>261—42.4</w:t>
      </w:r>
      <w:r>
        <w:rPr>
          <w:rFonts w:ascii="Times New Roman" w:hAnsi="Times New Roman"/>
          <w:b/>
          <w:i w:val="false"/>
          <w:color w:val="000000"/>
          <w:sz w:val="22"/>
        </w:rPr>
        <w:t xml:space="preserve">(15) </w:t>
      </w:r>
      <w:r>
        <w:rPr>
          <w:rFonts w:ascii="Times New Roman" w:hAnsi="Times New Roman"/>
          <w:b/>
          <w:i w:val="false"/>
          <w:color w:val="000000"/>
          <w:sz w:val="22"/>
        </w:rPr>
        <w:t xml:space="preserve">Application scoring and approval process. </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42.4(1)</w:t>
      </w:r>
      <w:r>
        <w:rPr>
          <w:rFonts w:ascii="Times New Roman" w:hAnsi="Times New Roman"/>
          <w:b w:val="false"/>
          <w:i w:val="false"/>
          <w:color w:val="000000"/>
          <w:sz w:val="22"/>
        </w:rPr>
        <w:t> </w:t>
      </w:r>
      <w:r>
        <w:rPr>
          <w:rFonts w:ascii="Times New Roman" w:hAnsi="Times New Roman"/>
          <w:b w:val="false"/>
          <w:i/>
          <w:color w:val="000000"/>
          <w:sz w:val="22"/>
        </w:rPr>
        <w:t xml:space="preserve">Scoring process and criteria. </w:t>
      </w:r>
      <w:r>
        <w:rPr>
          <w:rFonts w:ascii="Times New Roman" w:hAnsi="Times New Roman"/>
          <w:b w:val="false"/>
          <w:i w:val="false"/>
          <w:color w:val="000000"/>
          <w:sz w:val="22"/>
        </w:rPr>
        <w:t xml:space="preserve">An application meeting the requirements in rule </w:t>
      </w:r>
      <w:hyperlink r:id="rId9">
        <w:r>
          <w:rPr>
            <w:rStyle w:val="Hyperlink"/>
            <w:rFonts w:ascii="Times New Roman" w:hAnsi="Times New Roman"/>
            <w:b w:val="false"/>
            <w:i w:val="false"/>
            <w:color w:val="000000"/>
            <w:sz w:val="22"/>
          </w:rPr>
          <w:t>261—42.3</w:t>
        </w:r>
      </w:hyperlink>
      <w:r>
        <w:rPr>
          <w:rFonts w:ascii="Times New Roman" w:hAnsi="Times New Roman"/>
          <w:b w:val="false"/>
          <w:i w:val="false"/>
          <w:color w:val="000000"/>
          <w:sz w:val="22"/>
        </w:rPr>
        <w:t>(15) will be reviewed and scored by authority staff. The authority may also engage outside reviewers with relevant expertise. The higher an application’s numerical score, the more likely it is to receive funding under the program. The criteria used to score the applications are as follows:</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a.</w:t>
      </w:r>
      <w:r>
        <w:rPr>
          <w:rFonts w:ascii="Times New Roman" w:hAnsi="Times New Roman"/>
          <w:b w:val="false"/>
          <w:i w:val="false"/>
          <w:color w:val="000000"/>
          <w:sz w:val="22"/>
        </w:rPr>
        <w:t>  </w:t>
      </w:r>
      <w:r>
        <w:rPr>
          <w:rFonts w:ascii="Times New Roman" w:hAnsi="Times New Roman"/>
          <w:b w:val="false"/>
          <w:i w:val="false"/>
          <w:color w:val="000000"/>
          <w:sz w:val="22"/>
        </w:rPr>
        <w:t>Project description: The applicant will explain the project, the timeline for its creation and implementation, and how state funds will support the project. The authority will view favorably information that clearly articulates the project, sets forth a reasonable timeline for the project’s creation and implementation, and fully describes how state funds will be used to support the project.</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b.</w:t>
      </w:r>
      <w:r>
        <w:rPr>
          <w:rFonts w:ascii="Times New Roman" w:hAnsi="Times New Roman"/>
          <w:b w:val="false"/>
          <w:i w:val="false"/>
          <w:color w:val="000000"/>
          <w:sz w:val="22"/>
        </w:rPr>
        <w:t>  </w:t>
      </w:r>
      <w:r>
        <w:rPr>
          <w:rFonts w:ascii="Times New Roman" w:hAnsi="Times New Roman"/>
          <w:b w:val="false"/>
          <w:i w:val="false"/>
          <w:color w:val="000000"/>
          <w:sz w:val="22"/>
        </w:rPr>
        <w:t>Economic impact and ability to promote tourism industry growth: The authority will consider how the project supports the mission of the Iowa tourism office and is part of the applicant’s broader marketing strategy to increase the economic impact of tourism locally and in the state of Iowa.</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c.</w:t>
      </w:r>
      <w:r>
        <w:rPr>
          <w:rFonts w:ascii="Times New Roman" w:hAnsi="Times New Roman"/>
          <w:b w:val="false"/>
          <w:i w:val="false"/>
          <w:color w:val="000000"/>
          <w:sz w:val="22"/>
        </w:rPr>
        <w:t>  </w:t>
      </w:r>
      <w:r>
        <w:rPr>
          <w:rFonts w:ascii="Times New Roman" w:hAnsi="Times New Roman"/>
          <w:b w:val="false"/>
          <w:i w:val="false"/>
          <w:color w:val="000000"/>
          <w:sz w:val="22"/>
        </w:rPr>
        <w:t>Sustainability: The authority will view favorably applications that illustrate the capacity to implement and sustain the project upon completion.</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d.</w:t>
      </w:r>
      <w:r>
        <w:rPr>
          <w:rFonts w:ascii="Times New Roman" w:hAnsi="Times New Roman"/>
          <w:b w:val="false"/>
          <w:i w:val="false"/>
          <w:color w:val="000000"/>
          <w:sz w:val="22"/>
        </w:rPr>
        <w:t>  </w:t>
      </w:r>
      <w:r>
        <w:rPr>
          <w:rFonts w:ascii="Times New Roman" w:hAnsi="Times New Roman"/>
          <w:b w:val="false"/>
          <w:i w:val="false"/>
          <w:color w:val="000000"/>
          <w:sz w:val="22"/>
        </w:rPr>
        <w:t>Need: The authority will consider the financial need of an applicant.</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e.</w:t>
      </w:r>
      <w:r>
        <w:rPr>
          <w:rFonts w:ascii="Times New Roman" w:hAnsi="Times New Roman"/>
          <w:b w:val="false"/>
          <w:i w:val="false"/>
          <w:color w:val="000000"/>
          <w:sz w:val="22"/>
        </w:rPr>
        <w:t>  </w:t>
      </w:r>
      <w:r>
        <w:rPr>
          <w:rFonts w:ascii="Times New Roman" w:hAnsi="Times New Roman"/>
          <w:b w:val="false"/>
          <w:i w:val="false"/>
          <w:color w:val="000000"/>
          <w:sz w:val="22"/>
        </w:rPr>
        <w:t>Innovation: The authority will consider the innovative quality of an event or marketing initiative and how the project will expand upon existing marketing tactics or resources.</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f.</w:t>
      </w:r>
      <w:r>
        <w:rPr>
          <w:rFonts w:ascii="Times New Roman" w:hAnsi="Times New Roman"/>
          <w:b w:val="false"/>
          <w:i w:val="false"/>
          <w:color w:val="000000"/>
          <w:sz w:val="22"/>
        </w:rPr>
        <w:t>  </w:t>
      </w:r>
      <w:r>
        <w:rPr>
          <w:rFonts w:ascii="Times New Roman" w:hAnsi="Times New Roman"/>
          <w:b w:val="false"/>
          <w:i w:val="false"/>
          <w:color w:val="000000"/>
          <w:sz w:val="22"/>
        </w:rPr>
        <w:t>Budget: The authority will view favorably budgets that are well-developed and relevant to the project and that provide documentation of planned project expenses during the grant period.</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g.</w:t>
      </w:r>
      <w:r>
        <w:rPr>
          <w:rFonts w:ascii="Times New Roman" w:hAnsi="Times New Roman"/>
          <w:b w:val="false"/>
          <w:i w:val="false"/>
          <w:color w:val="000000"/>
          <w:sz w:val="22"/>
        </w:rPr>
        <w:t>  </w:t>
      </w:r>
      <w:r>
        <w:rPr>
          <w:rFonts w:ascii="Times New Roman" w:hAnsi="Times New Roman"/>
          <w:b w:val="false"/>
          <w:i w:val="false"/>
          <w:color w:val="000000"/>
          <w:sz w:val="22"/>
        </w:rPr>
        <w:t>Collaboration: The authority will view favorably applications that either represent a collaboration of multiple entities or show the benefit of the project to multiple entities within the tourism industry, or both.</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42.4(2)</w:t>
      </w:r>
      <w:r>
        <w:rPr>
          <w:rFonts w:ascii="Times New Roman" w:hAnsi="Times New Roman"/>
          <w:b w:val="false"/>
          <w:i w:val="false"/>
          <w:color w:val="000000"/>
          <w:sz w:val="22"/>
        </w:rPr>
        <w:t> </w:t>
      </w:r>
      <w:r>
        <w:rPr>
          <w:rFonts w:ascii="Times New Roman" w:hAnsi="Times New Roman"/>
          <w:b w:val="false"/>
          <w:i/>
          <w:color w:val="000000"/>
          <w:sz w:val="22"/>
        </w:rPr>
        <w:t xml:space="preserve">Approval process. </w:t>
      </w:r>
      <w:r>
        <w:rPr>
          <w:rFonts w:ascii="Times New Roman" w:hAnsi="Times New Roman"/>
          <w:b w:val="false"/>
          <w:i w:val="false"/>
          <w:color w:val="000000"/>
          <w:sz w:val="22"/>
        </w:rPr>
        <w:t xml:space="preserve">The authority will assign scores based on the criteria described in rules </w:t>
      </w:r>
      <w:hyperlink r:id="rId10">
        <w:r>
          <w:rPr>
            <w:rStyle w:val="Hyperlink"/>
            <w:rFonts w:ascii="Times New Roman" w:hAnsi="Times New Roman"/>
            <w:b w:val="false"/>
            <w:i w:val="false"/>
            <w:color w:val="000000"/>
            <w:sz w:val="22"/>
          </w:rPr>
          <w:t>261—42.3</w:t>
        </w:r>
      </w:hyperlink>
      <w:r>
        <w:rPr>
          <w:rFonts w:ascii="Times New Roman" w:hAnsi="Times New Roman"/>
          <w:b w:val="false"/>
          <w:i w:val="false"/>
          <w:color w:val="000000"/>
          <w:sz w:val="22"/>
        </w:rPr>
        <w:t xml:space="preserve">(15) and </w:t>
      </w:r>
      <w:hyperlink r:id="rId11">
        <w:r>
          <w:rPr>
            <w:rStyle w:val="Hyperlink"/>
            <w:rFonts w:ascii="Times New Roman" w:hAnsi="Times New Roman"/>
            <w:b w:val="false"/>
            <w:i w:val="false"/>
            <w:color w:val="000000"/>
            <w:sz w:val="22"/>
          </w:rPr>
          <w:t>261—42.4</w:t>
        </w:r>
      </w:hyperlink>
      <w:r>
        <w:rPr>
          <w:rFonts w:ascii="Times New Roman" w:hAnsi="Times New Roman"/>
          <w:b w:val="false"/>
          <w:i w:val="false"/>
          <w:color w:val="000000"/>
          <w:sz w:val="22"/>
        </w:rPr>
        <w:t>(15) to determine successful applicants. The authority may recommend partial funding of any or all applicants.</w:t>
      </w:r>
    </w:p>
    <w:p>
      <w:pPr>
        <w:spacing w:before="0" w:after="0" w:line="240"/>
        <w:ind w:left="120"/>
        <w:jc w:val="both"/>
      </w:pPr>
      <w:r>
        <w:rPr>
          <w:rFonts w:ascii="Times New Roman" w:hAnsi="Times New Roman"/>
          <w:b w:val="false"/>
          <w:i w:val="false"/>
          <w:color w:val="000000"/>
          <w:sz w:val="16"/>
        </w:rPr>
        <w:t>[</w:t>
      </w:r>
      <w:r>
        <w:rPr>
          <w:rFonts w:ascii="Times New Roman" w:hAnsi="Times New Roman"/>
          <w:b/>
          <w:i w:val="false"/>
          <w:color w:val="000000"/>
          <w:sz w:val="16"/>
        </w:rPr>
        <w:t>ARC 9303C</w:t>
      </w:r>
      <w:r>
        <w:rPr>
          <w:rFonts w:ascii="Times New Roman" w:hAnsi="Times New Roman"/>
          <w:b w:val="false"/>
          <w:i w:val="false"/>
          <w:color w:val="000000"/>
          <w:sz w:val="16"/>
        </w:rPr>
        <w:t>, IAB 5/28/25, effective 7/2/25</w:t>
      </w:r>
      <w:r>
        <w:rPr>
          <w:rFonts w:ascii="Times New Roman" w:hAnsi="Times New Roman"/>
          <w:b w:val="false"/>
          <w:i w:val="false"/>
          <w:color w:val="000000"/>
          <w:sz w:val="16"/>
        </w:rPr>
        <w:t>]</w:t>
      </w:r>
    </w:p>
    <w:p>
      <w:pPr>
        <w:spacing w:before="0" w:after="0"/>
        <w:ind w:left="120"/>
        <w:jc w:val="both"/>
      </w:pPr>
      <w:r>
        <w:rPr>
          <w:rFonts w:ascii="Times New Roman" w:hAnsi="Times New Roman"/>
          <w:b/>
          <w:i w:val="false"/>
          <w:color w:val="000000"/>
          <w:sz w:val="22"/>
        </w:rPr>
        <w:t>261—42.5</w:t>
      </w:r>
      <w:r>
        <w:rPr>
          <w:rFonts w:ascii="Times New Roman" w:hAnsi="Times New Roman"/>
          <w:b/>
          <w:i w:val="false"/>
          <w:color w:val="000000"/>
          <w:sz w:val="22"/>
        </w:rPr>
        <w:t xml:space="preserve">(15) </w:t>
      </w:r>
      <w:r>
        <w:rPr>
          <w:rFonts w:ascii="Times New Roman" w:hAnsi="Times New Roman"/>
          <w:b/>
          <w:i w:val="false"/>
          <w:color w:val="000000"/>
          <w:sz w:val="22"/>
        </w:rPr>
        <w:t xml:space="preserve">Contract administration. </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42.5(1)</w:t>
      </w:r>
      <w:r>
        <w:rPr>
          <w:rFonts w:ascii="Times New Roman" w:hAnsi="Times New Roman"/>
          <w:b w:val="false"/>
          <w:i w:val="false"/>
          <w:color w:val="000000"/>
          <w:sz w:val="22"/>
        </w:rPr>
        <w:t> </w:t>
      </w:r>
      <w:r>
        <w:rPr>
          <w:rFonts w:ascii="Times New Roman" w:hAnsi="Times New Roman"/>
          <w:b w:val="false"/>
          <w:i/>
          <w:color w:val="000000"/>
          <w:sz w:val="22"/>
        </w:rPr>
        <w:t xml:space="preserve">Notice of approval. </w:t>
      </w:r>
      <w:r>
        <w:rPr>
          <w:rFonts w:ascii="Times New Roman" w:hAnsi="Times New Roman"/>
          <w:b w:val="false"/>
          <w:i w:val="false"/>
          <w:color w:val="000000"/>
          <w:sz w:val="22"/>
        </w:rPr>
        <w:t>The authority will notify successful applicants in writing of an approved request for funding. Such notification may include the terms and conditions under which approval is granted.</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42.5(2)</w:t>
      </w:r>
      <w:r>
        <w:rPr>
          <w:rFonts w:ascii="Times New Roman" w:hAnsi="Times New Roman"/>
          <w:b w:val="false"/>
          <w:i w:val="false"/>
          <w:color w:val="000000"/>
          <w:sz w:val="22"/>
        </w:rPr>
        <w:t> </w:t>
      </w:r>
      <w:r>
        <w:rPr>
          <w:rFonts w:ascii="Times New Roman" w:hAnsi="Times New Roman"/>
          <w:b w:val="false"/>
          <w:i/>
          <w:color w:val="000000"/>
          <w:sz w:val="22"/>
        </w:rPr>
        <w:t xml:space="preserve">Contract required. </w:t>
      </w:r>
      <w:r>
        <w:rPr>
          <w:rFonts w:ascii="Times New Roman" w:hAnsi="Times New Roman"/>
          <w:b w:val="false"/>
          <w:i w:val="false"/>
          <w:color w:val="000000"/>
          <w:sz w:val="22"/>
        </w:rPr>
        <w:t>Each successful applicant that accepts the recommended award amount shall enter into a contract with the authority. The contract will describe the project that the applicant will institute as described in the application and will include the terms and conditions under which the grant funds will be disbursed. The contract will also include the terms and conditions under which grant funds must be repaid or penalties incurred in the event the grantee does not fulfill all obligations under the contract.</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42.5(3)</w:t>
      </w:r>
      <w:r>
        <w:rPr>
          <w:rFonts w:ascii="Times New Roman" w:hAnsi="Times New Roman"/>
          <w:b w:val="false"/>
          <w:i w:val="false"/>
          <w:color w:val="000000"/>
          <w:sz w:val="22"/>
        </w:rPr>
        <w:t> </w:t>
      </w:r>
      <w:r>
        <w:rPr>
          <w:rFonts w:ascii="Times New Roman" w:hAnsi="Times New Roman"/>
          <w:b w:val="false"/>
          <w:i/>
          <w:color w:val="000000"/>
          <w:sz w:val="22"/>
        </w:rPr>
        <w:t xml:space="preserve">Contract amendments. </w:t>
      </w:r>
      <w:r>
        <w:rPr>
          <w:rFonts w:ascii="Times New Roman" w:hAnsi="Times New Roman"/>
          <w:b w:val="false"/>
          <w:i w:val="false"/>
          <w:color w:val="000000"/>
          <w:sz w:val="22"/>
        </w:rPr>
        <w:t>All requests by a grantee for an amendment to the contract will require the approval of the director of the authority. The director will review each such request and approve or deny it. If a request is approved, the grantee and the director will execute a written amendment to the contract. Only a written amendment duly executed by both parties to the contract will be valid and binding.</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42.5(4)</w:t>
      </w:r>
      <w:r>
        <w:rPr>
          <w:rFonts w:ascii="Times New Roman" w:hAnsi="Times New Roman"/>
          <w:b w:val="false"/>
          <w:i w:val="false"/>
          <w:color w:val="000000"/>
          <w:sz w:val="22"/>
        </w:rPr>
        <w:t> </w:t>
      </w:r>
      <w:r>
        <w:rPr>
          <w:rFonts w:ascii="Times New Roman" w:hAnsi="Times New Roman"/>
          <w:b w:val="false"/>
          <w:i/>
          <w:color w:val="000000"/>
          <w:sz w:val="22"/>
        </w:rPr>
        <w:t xml:space="preserve">Reports required. </w:t>
      </w:r>
      <w:r>
        <w:rPr>
          <w:rFonts w:ascii="Times New Roman" w:hAnsi="Times New Roman"/>
          <w:b w:val="false"/>
          <w:i w:val="false"/>
          <w:color w:val="000000"/>
          <w:sz w:val="22"/>
        </w:rPr>
        <w:t>Each grantee shall submit a written report to the authority within 60 days of the end of the contract period.</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42.5(5)</w:t>
      </w:r>
      <w:r>
        <w:rPr>
          <w:rFonts w:ascii="Times New Roman" w:hAnsi="Times New Roman"/>
          <w:b w:val="false"/>
          <w:i w:val="false"/>
          <w:color w:val="000000"/>
          <w:sz w:val="22"/>
        </w:rPr>
        <w:t> </w:t>
      </w:r>
      <w:r>
        <w:rPr>
          <w:rFonts w:ascii="Times New Roman" w:hAnsi="Times New Roman"/>
          <w:b w:val="false"/>
          <w:i/>
          <w:color w:val="000000"/>
          <w:sz w:val="22"/>
        </w:rPr>
        <w:t xml:space="preserve">Recordkeeping. </w:t>
      </w:r>
      <w:r>
        <w:rPr>
          <w:rFonts w:ascii="Times New Roman" w:hAnsi="Times New Roman"/>
          <w:b w:val="false"/>
          <w:i w:val="false"/>
          <w:color w:val="000000"/>
          <w:sz w:val="22"/>
        </w:rPr>
        <w:t>Each grantee shall maintain all records necessary for the verification and validation of the proper use of grant funds under the contract for three years following grant agreement closeout and shall submit such records to the authority upon request.</w:t>
      </w:r>
    </w:p>
    <w:p>
      <w:pPr>
        <w:spacing w:before="0" w:after="0" w:line="240"/>
        <w:ind w:left="120"/>
        <w:jc w:val="both"/>
      </w:pPr>
      <w:r>
        <w:rPr>
          <w:rFonts w:ascii="Times New Roman" w:hAnsi="Times New Roman"/>
          <w:b w:val="false"/>
          <w:i w:val="false"/>
          <w:color w:val="000000"/>
          <w:sz w:val="16"/>
        </w:rPr>
        <w:t>[</w:t>
      </w:r>
      <w:r>
        <w:rPr>
          <w:rFonts w:ascii="Times New Roman" w:hAnsi="Times New Roman"/>
          <w:b/>
          <w:i w:val="false"/>
          <w:color w:val="000000"/>
          <w:sz w:val="16"/>
        </w:rPr>
        <w:t>ARC 9303C</w:t>
      </w:r>
      <w:r>
        <w:rPr>
          <w:rFonts w:ascii="Times New Roman" w:hAnsi="Times New Roman"/>
          <w:b w:val="false"/>
          <w:i w:val="false"/>
          <w:color w:val="000000"/>
          <w:sz w:val="16"/>
        </w:rPr>
        <w:t>, IAB 5/28/25, effective 7/2/25</w:t>
      </w:r>
      <w:r>
        <w:rPr>
          <w:rFonts w:ascii="Times New Roman" w:hAnsi="Times New Roman"/>
          <w:b w:val="false"/>
          <w:i w:val="false"/>
          <w:color w:val="000000"/>
          <w:sz w:val="16"/>
        </w:rPr>
        <w:t>]</w:t>
      </w:r>
    </w:p>
    <w:p>
      <w:pPr>
        <w:spacing w:before="0" w:after="0"/>
        <w:ind w:left="120"/>
        <w:jc w:val="both"/>
      </w:pPr>
      <w:r>
        <w:rPr>
          <w:rFonts w:ascii="Times New Roman" w:hAnsi="Times New Roman"/>
          <w:b/>
          <w:i w:val="false"/>
          <w:color w:val="000000"/>
          <w:sz w:val="22"/>
        </w:rPr>
        <w:t>261—42.6</w:t>
      </w:r>
      <w:r>
        <w:rPr>
          <w:rFonts w:ascii="Times New Roman" w:hAnsi="Times New Roman"/>
          <w:b/>
          <w:i w:val="false"/>
          <w:color w:val="000000"/>
          <w:sz w:val="22"/>
        </w:rPr>
        <w:t xml:space="preserve">(15) </w:t>
      </w:r>
      <w:r>
        <w:rPr>
          <w:rFonts w:ascii="Times New Roman" w:hAnsi="Times New Roman"/>
          <w:b/>
          <w:i w:val="false"/>
          <w:color w:val="000000"/>
          <w:sz w:val="22"/>
        </w:rPr>
        <w:t xml:space="preserve">Expenses, records, and reimbursements. </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42.6(1)</w:t>
      </w:r>
      <w:r>
        <w:rPr>
          <w:rFonts w:ascii="Times New Roman" w:hAnsi="Times New Roman"/>
          <w:b w:val="false"/>
          <w:i w:val="false"/>
          <w:color w:val="000000"/>
          <w:sz w:val="22"/>
        </w:rPr>
        <w:t> </w:t>
      </w:r>
      <w:r>
        <w:rPr>
          <w:rFonts w:ascii="Times New Roman" w:hAnsi="Times New Roman"/>
          <w:b w:val="false"/>
          <w:i/>
          <w:color w:val="000000"/>
          <w:sz w:val="22"/>
        </w:rPr>
        <w:t xml:space="preserve">General. </w:t>
      </w:r>
      <w:r>
        <w:rPr>
          <w:rFonts w:ascii="Times New Roman" w:hAnsi="Times New Roman"/>
          <w:b w:val="false"/>
          <w:i w:val="false"/>
          <w:color w:val="000000"/>
          <w:sz w:val="22"/>
        </w:rPr>
        <w:t>Each grantee shall at all times incur expenses only as described in this chapter or in a contract executed hereunder. The authority may deny payment of grant funds for any expenditure not directly related to the implementation of a tourism-related marketing initiative, meeting or event.</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42.6(2)</w:t>
      </w:r>
      <w:r>
        <w:rPr>
          <w:rFonts w:ascii="Times New Roman" w:hAnsi="Times New Roman"/>
          <w:b w:val="false"/>
          <w:i w:val="false"/>
          <w:color w:val="000000"/>
          <w:sz w:val="22"/>
        </w:rPr>
        <w:t> </w:t>
      </w:r>
      <w:r>
        <w:rPr>
          <w:rFonts w:ascii="Times New Roman" w:hAnsi="Times New Roman"/>
          <w:b w:val="false"/>
          <w:i/>
          <w:color w:val="000000"/>
          <w:sz w:val="22"/>
        </w:rPr>
        <w:t xml:space="preserve">Eligible expenses. </w:t>
      </w:r>
      <w:r>
        <w:rPr>
          <w:rFonts w:ascii="Times New Roman" w:hAnsi="Times New Roman"/>
          <w:b w:val="false"/>
          <w:i w:val="false"/>
          <w:color w:val="000000"/>
          <w:sz w:val="22"/>
        </w:rPr>
        <w:t>Only expenditures directly related to the implementation of a tourism-related marketing initiative, meeting or event and approved by the authority at the time of application are eligible expenses under the program. Examples of eligible expenses include the following:</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a.</w:t>
      </w:r>
      <w:r>
        <w:rPr>
          <w:rFonts w:ascii="Times New Roman" w:hAnsi="Times New Roman"/>
          <w:b w:val="false"/>
          <w:i w:val="false"/>
          <w:color w:val="000000"/>
          <w:sz w:val="22"/>
        </w:rPr>
        <w:t>  </w:t>
      </w:r>
      <w:r>
        <w:rPr>
          <w:rFonts w:ascii="Times New Roman" w:hAnsi="Times New Roman"/>
          <w:b w:val="false"/>
          <w:i w:val="false"/>
          <w:color w:val="000000"/>
          <w:sz w:val="22"/>
        </w:rPr>
        <w:t>The costs associated with all phases of the execution of marketing tactics and strategies, including planning and design and production of tools such as advertising, print materials, digital tools and exhibits for consumer-focused tradeshows.</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b.</w:t>
      </w:r>
      <w:r>
        <w:rPr>
          <w:rFonts w:ascii="Times New Roman" w:hAnsi="Times New Roman"/>
          <w:b w:val="false"/>
          <w:i w:val="false"/>
          <w:color w:val="000000"/>
          <w:sz w:val="22"/>
        </w:rPr>
        <w:t>  </w:t>
      </w:r>
      <w:r>
        <w:rPr>
          <w:rFonts w:ascii="Times New Roman" w:hAnsi="Times New Roman"/>
          <w:b w:val="false"/>
          <w:i w:val="false"/>
          <w:color w:val="000000"/>
          <w:sz w:val="22"/>
        </w:rPr>
        <w:t>The costs associated with acquiring a regional or national tourism-related meeting, including but not limited to bid fees, rights fees, sponsorships, payments to vendors, venue rental, and equipment rental.</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c.</w:t>
      </w:r>
      <w:r>
        <w:rPr>
          <w:rFonts w:ascii="Times New Roman" w:hAnsi="Times New Roman"/>
          <w:b w:val="false"/>
          <w:i w:val="false"/>
          <w:color w:val="000000"/>
          <w:sz w:val="22"/>
        </w:rPr>
        <w:t>  </w:t>
      </w:r>
      <w:r>
        <w:rPr>
          <w:rFonts w:ascii="Times New Roman" w:hAnsi="Times New Roman"/>
          <w:b w:val="false"/>
          <w:i w:val="false"/>
          <w:color w:val="000000"/>
          <w:sz w:val="22"/>
        </w:rPr>
        <w:t>The costs associated with executing a local event or festival, including but not limited to payments to vendors, payments to speakers or entertainers, venue rental, and equipment rental for new events or existing events in Iowa in order to augment the event.</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42.6(3)</w:t>
      </w:r>
      <w:r>
        <w:rPr>
          <w:rFonts w:ascii="Times New Roman" w:hAnsi="Times New Roman"/>
          <w:b w:val="false"/>
          <w:i w:val="false"/>
          <w:color w:val="000000"/>
          <w:sz w:val="22"/>
        </w:rPr>
        <w:t> </w:t>
      </w:r>
      <w:r>
        <w:rPr>
          <w:rFonts w:ascii="Times New Roman" w:hAnsi="Times New Roman"/>
          <w:b w:val="false"/>
          <w:i/>
          <w:color w:val="000000"/>
          <w:sz w:val="22"/>
        </w:rPr>
        <w:t xml:space="preserve">Ineligible expenses. </w:t>
      </w:r>
      <w:r>
        <w:rPr>
          <w:rFonts w:ascii="Times New Roman" w:hAnsi="Times New Roman"/>
          <w:b w:val="false"/>
          <w:i w:val="false"/>
          <w:color w:val="000000"/>
          <w:sz w:val="22"/>
        </w:rPr>
        <w:t>Expenses that are not directly related to the implementation of a tourism-related marketing initiative, meeting or event will be deemed ineligible. Ineligible expenses include but are not limited to vertical infrastructure; staff salaries and wages; equipment and software; solicitation efforts; lobbying fees; items that are purchased for resale; prizes given to participants or event/festival attendees; alcoholic beverages; internships; all travel, meal and lodging costs of applicant staff or the applicant’s contractor; projects that receive funding from the authority’s regional sports authority district program; or marketing programs already subsidized by the authority including but not limited to advertising in the Iowa travel guide or participating in the cooperative partnership program.</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42.6(4)</w:t>
      </w:r>
      <w:r>
        <w:rPr>
          <w:rFonts w:ascii="Times New Roman" w:hAnsi="Times New Roman"/>
          <w:b w:val="false"/>
          <w:i w:val="false"/>
          <w:color w:val="000000"/>
          <w:sz w:val="22"/>
        </w:rPr>
        <w:t> </w:t>
      </w:r>
      <w:r>
        <w:rPr>
          <w:rFonts w:ascii="Times New Roman" w:hAnsi="Times New Roman"/>
          <w:b w:val="false"/>
          <w:i/>
          <w:color w:val="000000"/>
          <w:sz w:val="22"/>
        </w:rPr>
        <w:t xml:space="preserve">Required records. </w:t>
      </w:r>
      <w:r>
        <w:rPr>
          <w:rFonts w:ascii="Times New Roman" w:hAnsi="Times New Roman"/>
          <w:b w:val="false"/>
          <w:i w:val="false"/>
          <w:color w:val="000000"/>
          <w:sz w:val="22"/>
        </w:rPr>
        <w:t>A grantee shall submit any records requested by the authority as documentation of the expenditures incurred for implementation of the project. Such records may include invoices, original itemized receipts, check copies, or other proof of payment.</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42.6(5)</w:t>
      </w:r>
      <w:r>
        <w:rPr>
          <w:rFonts w:ascii="Times New Roman" w:hAnsi="Times New Roman"/>
          <w:b w:val="false"/>
          <w:i w:val="false"/>
          <w:color w:val="000000"/>
          <w:sz w:val="22"/>
        </w:rPr>
        <w:t> </w:t>
      </w:r>
      <w:r>
        <w:rPr>
          <w:rFonts w:ascii="Times New Roman" w:hAnsi="Times New Roman"/>
          <w:b w:val="false"/>
          <w:i/>
          <w:color w:val="000000"/>
          <w:sz w:val="22"/>
        </w:rPr>
        <w:t xml:space="preserve">Repayments of certain funds. </w:t>
      </w:r>
      <w:r>
        <w:rPr>
          <w:rFonts w:ascii="Times New Roman" w:hAnsi="Times New Roman"/>
          <w:b w:val="false"/>
          <w:i w:val="false"/>
          <w:color w:val="000000"/>
          <w:sz w:val="22"/>
        </w:rPr>
        <w:t>If the authority approves grant funds for the cost of a refundable bid fee and the grantee is unsuccessful in the effort to win the right to hold that event, then the grantee shall return the amount of funds paid for such bid fee to the authority.</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42.6(6)</w:t>
      </w:r>
      <w:r>
        <w:rPr>
          <w:rFonts w:ascii="Times New Roman" w:hAnsi="Times New Roman"/>
          <w:b w:val="false"/>
          <w:i w:val="false"/>
          <w:color w:val="000000"/>
          <w:sz w:val="22"/>
        </w:rPr>
        <w:t> </w:t>
      </w:r>
      <w:r>
        <w:rPr>
          <w:rFonts w:ascii="Times New Roman" w:hAnsi="Times New Roman"/>
          <w:b w:val="false"/>
          <w:i/>
          <w:color w:val="000000"/>
          <w:sz w:val="22"/>
        </w:rPr>
        <w:t xml:space="preserve">Reallocation of funds. </w:t>
      </w:r>
      <w:r>
        <w:rPr>
          <w:rFonts w:ascii="Times New Roman" w:hAnsi="Times New Roman"/>
          <w:b w:val="false"/>
          <w:i w:val="false"/>
          <w:color w:val="000000"/>
          <w:sz w:val="22"/>
        </w:rPr>
        <w:t>If, at the time of a grantee’s final reporting of expenses, the grantee cannot adequately document eligible expenses or documents an amount that is less than the awarded amount, the authority may reduce the grant amount or require repayment of grant funds received.</w:t>
      </w:r>
    </w:p>
    <w:p>
      <w:pPr>
        <w:spacing w:before="0" w:after="0" w:line="240"/>
        <w:ind w:left="120"/>
        <w:jc w:val="both"/>
      </w:pPr>
      <w:r>
        <w:rPr>
          <w:rFonts w:ascii="Times New Roman" w:hAnsi="Times New Roman"/>
          <w:b w:val="false"/>
          <w:i w:val="false"/>
          <w:color w:val="000000"/>
          <w:sz w:val="16"/>
        </w:rPr>
        <w:t>[</w:t>
      </w:r>
      <w:r>
        <w:rPr>
          <w:rFonts w:ascii="Times New Roman" w:hAnsi="Times New Roman"/>
          <w:b/>
          <w:i w:val="false"/>
          <w:color w:val="000000"/>
          <w:sz w:val="16"/>
        </w:rPr>
        <w:t>ARC 9303C</w:t>
      </w:r>
      <w:r>
        <w:rPr>
          <w:rFonts w:ascii="Times New Roman" w:hAnsi="Times New Roman"/>
          <w:b w:val="false"/>
          <w:i w:val="false"/>
          <w:color w:val="000000"/>
          <w:sz w:val="16"/>
        </w:rPr>
        <w:t>, IAB 5/28/25, effective 7/2/25</w:t>
      </w:r>
      <w:r>
        <w:rPr>
          <w:rFonts w:ascii="Times New Roman" w:hAnsi="Times New Roman"/>
          <w:b w:val="false"/>
          <w:i w:val="false"/>
          <w:color w:val="000000"/>
          <w:sz w:val="16"/>
        </w:rPr>
        <w:t>]</w:t>
      </w:r>
    </w:p>
    <w:p>
      <w:pPr>
        <w:spacing w:before="0" w:after="0"/>
        <w:ind w:left="120"/>
        <w:jc w:val="both"/>
      </w:pPr>
      <w:r>
        <w:rPr>
          <w:rFonts w:ascii="Times New Roman" w:hAnsi="Times New Roman"/>
          <w:b w:val="false"/>
          <w:i w:val="false"/>
          <w:color w:val="000000"/>
          <w:sz w:val="22"/>
        </w:rPr>
        <w:t xml:space="preserve">These rules are intended to implement Iowa Code section </w:t>
      </w:r>
      <w:hyperlink r:id="rId12">
        <w:r>
          <w:rPr>
            <w:rStyle w:val="Hyperlink"/>
            <w:rFonts w:ascii="Times New Roman" w:hAnsi="Times New Roman"/>
            <w:b w:val="false"/>
            <w:i w:val="false"/>
            <w:color w:val="000000"/>
            <w:sz w:val="22"/>
          </w:rPr>
          <w:t>15.108</w:t>
        </w:r>
      </w:hyperlink>
      <w:r>
        <w:rPr>
          <w:rFonts w:ascii="Times New Roman" w:hAnsi="Times New Roman"/>
          <w:b w:val="false"/>
          <w:i w:val="false"/>
          <w:color w:val="000000"/>
          <w:sz w:val="22"/>
        </w:rPr>
        <w:t>.</w:t>
      </w:r>
    </w:p>
    <w:p>
      <w:pPr>
        <w:spacing w:before="0" w:after="0"/>
        <w:ind w:left="120"/>
        <w:jc w:val="center"/>
      </w:pPr>
      <w:r>
        <w:rPr>
          <w:rFonts w:ascii="Times New Roman" w:hAnsi="Times New Roman"/>
          <w:b w:val="false"/>
          <w:i w:val="false"/>
          <w:color w:val="000000"/>
          <w:sz w:val="21"/>
        </w:rPr>
        <w:t>[Filed Emergency After Notice ARC 1493C</w:t>
      </w:r>
      <w:r>
        <w:rPr>
          <w:rFonts w:ascii="Times New Roman" w:hAnsi="Times New Roman"/>
          <w:b w:val="false"/>
          <w:i w:val="false"/>
          <w:color w:val="000000"/>
          <w:sz w:val="21"/>
        </w:rPr>
        <w:t xml:space="preserve"> (Notice ARC 1380C, IAB 3/19/14)</w:t>
      </w:r>
      <w:r>
        <w:rPr>
          <w:rFonts w:ascii="Times New Roman" w:hAnsi="Times New Roman"/>
          <w:b w:val="false"/>
          <w:i w:val="false"/>
          <w:color w:val="000000"/>
          <w:sz w:val="21"/>
        </w:rPr>
        <w:t>, IAB 6/11/14, effective 5/19/14]</w:t>
      </w:r>
    </w:p>
    <w:p>
      <w:pPr>
        <w:spacing w:before="0" w:after="0"/>
        <w:ind w:left="120"/>
        <w:jc w:val="center"/>
      </w:pPr>
      <w:r>
        <w:rPr>
          <w:rFonts w:ascii="Times New Roman" w:hAnsi="Times New Roman"/>
          <w:b w:val="false"/>
          <w:i w:val="false"/>
          <w:color w:val="000000"/>
          <w:sz w:val="21"/>
        </w:rPr>
        <w:t>[Filed ARC 3023C</w:t>
      </w:r>
      <w:r>
        <w:rPr>
          <w:rFonts w:ascii="Times New Roman" w:hAnsi="Times New Roman"/>
          <w:b w:val="false"/>
          <w:i w:val="false"/>
          <w:color w:val="000000"/>
          <w:sz w:val="21"/>
        </w:rPr>
        <w:t xml:space="preserve"> (Notice ARC 2893C, IAB 1/18/17)</w:t>
      </w:r>
      <w:r>
        <w:rPr>
          <w:rFonts w:ascii="Times New Roman" w:hAnsi="Times New Roman"/>
          <w:b w:val="false"/>
          <w:i w:val="false"/>
          <w:color w:val="000000"/>
          <w:sz w:val="21"/>
        </w:rPr>
        <w:t>, IAB 4/12/17, effective 5/17/17]</w:t>
      </w:r>
    </w:p>
    <w:p>
      <w:pPr>
        <w:spacing w:before="0" w:after="0"/>
        <w:ind w:left="120"/>
        <w:jc w:val="center"/>
      </w:pPr>
      <w:r>
        <w:rPr>
          <w:rFonts w:ascii="Times New Roman" w:hAnsi="Times New Roman"/>
          <w:b w:val="false"/>
          <w:i w:val="false"/>
          <w:color w:val="000000"/>
          <w:sz w:val="21"/>
        </w:rPr>
        <w:t>[Filed ARC 6319C</w:t>
      </w:r>
      <w:r>
        <w:rPr>
          <w:rFonts w:ascii="Times New Roman" w:hAnsi="Times New Roman"/>
          <w:b w:val="false"/>
          <w:i w:val="false"/>
          <w:color w:val="000000"/>
          <w:sz w:val="21"/>
        </w:rPr>
        <w:t xml:space="preserve"> (Notice ARC 6202C, IAB 2/23/22)</w:t>
      </w:r>
      <w:r>
        <w:rPr>
          <w:rFonts w:ascii="Times New Roman" w:hAnsi="Times New Roman"/>
          <w:b w:val="false"/>
          <w:i w:val="false"/>
          <w:color w:val="000000"/>
          <w:sz w:val="21"/>
        </w:rPr>
        <w:t>, IAB 5/18/22, effective 6/22/22]</w:t>
      </w:r>
    </w:p>
    <w:p>
      <w:pPr>
        <w:spacing w:before="0" w:after="0"/>
        <w:ind w:left="120"/>
        <w:jc w:val="center"/>
      </w:pPr>
      <w:r>
        <w:rPr>
          <w:rFonts w:ascii="Times New Roman" w:hAnsi="Times New Roman"/>
          <w:b w:val="false"/>
          <w:i w:val="false"/>
          <w:color w:val="000000"/>
          <w:sz w:val="21"/>
        </w:rPr>
        <w:t>[Filed ARC 9303C</w:t>
      </w:r>
      <w:r>
        <w:rPr>
          <w:rFonts w:ascii="Times New Roman" w:hAnsi="Times New Roman"/>
          <w:b w:val="false"/>
          <w:i w:val="false"/>
          <w:color w:val="000000"/>
          <w:sz w:val="21"/>
        </w:rPr>
        <w:t xml:space="preserve"> (Notice ARC 8930C, IAB 2/19/25)</w:t>
      </w:r>
      <w:r>
        <w:rPr>
          <w:rFonts w:ascii="Times New Roman" w:hAnsi="Times New Roman"/>
          <w:b w:val="false"/>
          <w:i w:val="false"/>
          <w:color w:val="000000"/>
          <w:sz w:val="21"/>
        </w:rPr>
        <w:t>, IAB 5/28/25, effective 7/2/25]</w:t>
      </w:r>
    </w:p>
    <w:sectPr>
      <w:pgSz w:w="11907" w:h="16839" w:code="9"/>
      <w:pgMar w:top="1440" w:right="1440" w:bottom="1440" w:left="1440"/>
    </w:sectPr>
  </w:body>
</w:document>
</file>

<file path=word/numbering.xml><?xml version="1.0" encoding="utf-8"?>
<w:numbering xmlns:w="http://schemas.openxmlformats.org/wordprocessingml/2006/main" xmlns:m="http://schemas.openxmlformats.org/officeDocument/2006/math" xmlns:w14="http://schemas.microsoft.com/office/word/2010/wordml" xmlns:r="http://schemas.openxmlformats.org/officeDocument/2006/relationships" xmlns:wp="http://schemas.openxmlformats.org/drawingml/2006/wordprocessingDrawing" xmlns:a="http://schemas.openxmlformats.org/drawingml/2006/main" xmlns:wp14="http://schemas.microsoft.com/office/word/2010/wordprocessingDrawing" xmlns:w15="http://schemas.microsoft.com/office/word/2012/wordml" xmlns:mc="http://schemas.openxmlformats.org/markup-compatibility/2006" xmlns:a14="http://schemas.microsoft.com/office/drawing/2010/main" xmlns:sl="http://schemas.openxmlformats.org/schemaLibrary/2006/main" xmlns:wne="http://schemas.microsoft.com/office/word/2006/wordml" xmlns:c="http://schemas.openxmlformats.org/drawingml/2006/chart" xmlns:cdr="http://schemas.openxmlformats.org/drawingml/2006/chartDrawing" xmlns:c14="http://schemas.microsoft.com/office/drawing/2007/8/2/chart" xmlns:dgm="http://schemas.openxmlformats.org/drawingml/2006/diagram" xmlns:pic="http://schemas.openxmlformats.org/drawingml/2006/picture" xmlns:xdr="http://schemas.openxmlformats.org/drawingml/2006/spreadsheetDrawing" xmlns:dsp="http://schemas.microsoft.com/office/drawing/2008/diagram" xmlns:xvml="urn:schemas-microsoft-com:office:excel" xmlns:o="urn:schemas-microsoft-com:office:office" xmlns:v="urn:schemas-microsoft-com:vml" xmlns:w10="urn:schemas-microsoft-com:office:word" xmlns:pvml="urn:schemas-microsoft-com:office:powerpoint" xmlns:cppr="http://schemas.microsoft.com/office/2006/coverPageProps" xmlns:odx="http://opendope.org/xpaths" xmlns:odc="http://opendope.org/conditions" xmlns:odq="http://opendope.org/questions" xmlns:oda="http://opendope.org/answers" xmlns:odi="http://opendope.org/components" xmlns:odgm="http://opendope.org/SmartArt/DataHierarchy" xmlns:b="http://schemas.openxmlformats.org/officeDocument/2006/bibliography" xmlns:msink="http://schemas.microsoft.com/ink/2010/main" xmlns:cdr14="http://schemas.microsoft.com/office/drawing/2010/chartDrawing" xmlns:c15="http://schemas.microsoft.com/office/drawing/2012/chart" xmlns:cs="http://schemas.microsoft.com/office/drawing/2012/chartStyle" xmlns:ns38="http://www.w3.org/1998/Math/MathML" xmlns:ns39="http://www.w3.org/2003/InkML" xmlns:a13cmd="http://schemas.microsoft.com/office/drawing/2013/main/command" xmlns:cx="http://schemas.microsoft.com/office/drawing/2014/chartex" xmlns:c16="http://schemas.microsoft.com/office/drawing/2014/chart" xmlns:dgm1611="http://schemas.microsoft.com/office/drawing/2016/11/diagram" xmlns:c173="http://schemas.microsoft.com/office/drawing/2017/03/chart" xmlns:am3d="http://schemas.microsoft.com/office/drawing/2017/model3d" xmlns:an18="http://schemas.microsoft.com/office/drawing/2018/animation" xmlns:anam3d="http://schemas.microsoft.com/office/drawing/2018/animation/model3d" xmlns:iact="http://schemas.microsoft.com/office/powerpoint/2014/inkAction" xmlns:thm15="http://schemas.microsoft.com/office/thememl/2012/main" xmlns:wps="http://schemas.microsoft.com/office/word/2010/wordprocessingShape" xmlns:wpc="http://schemas.microsoft.com/office/word/2010/wordprocessingCanvas" xmlns:wpg="http://schemas.microsoft.com/office/word/2010/wordprocessingGroup" xmlns:w16se="http://schemas.microsoft.com/office/word/2015/wordml/symex" xmlns:w16cid="http://schemas.microsoft.com/office/word/2016/wordml/cid" xmlns:wetp="http://schemas.microsoft.com/office/webextensions/taskpanes/2010/11" xmlns:we="http://schemas.microsoft.com/office/webextensions/webextension/2010/11" xmlns:comp="http://schemas.openxmlformats.org/drawingml/2006/compatibility" xmlns:lc="http://schemas.openxmlformats.org/drawingml/2006/lockedCanvas" xmlns:dgm14="http://schemas.microsoft.com/office/drawing/2010/diagram" xmlns:a15="http://schemas.microsoft.com/office/drawing/2012/main" xmlns:pic14="http://schemas.microsoft.com/office/drawing/2010/picture" xmlns:c16ac="http://schemas.microsoft.com/office/drawing/2014/chart/ac" xmlns:a16="http://schemas.microsoft.com/office/drawing/2014/main" xmlns:a1611="http://schemas.microsoft.com/office/drawing/2016/11/main" xmlns:dgm1612="http://schemas.microsoft.com/office/drawing/2016/12/diagram" xmlns:a16svg="http://schemas.microsoft.com/office/drawing/2016/SVG/main" xmlns:adec="http://schemas.microsoft.com/office/drawing/2017/decorative" xmlns:a18hc="http://schemas.microsoft.com/office/drawing/2018/hyperlinkcolor" xmlns:wp15="http://schemas.microsoft.com/office/word/2012/wordprocessingDrawing">
  <w:abstractNum w:abstractNumId="0">
    <w:nsid w:val="16892FB7"/>
    <w:multiLevelType w:val="hybridMultilevel"/>
    <w:tmpl w:val="5A4EB96A"/>
    <w:lvl w:ilvl="0" w:tplc="0C090001">
      <w:start w:val="1"/>
      <w:numFmt w:val="bullet"/>
      <w:lvlText w:val=""/>
      <w:lvlJc w:val="left"/>
      <w:pPr>
        <w:ind w:left="720" w:hanging="360"/>
      </w:pPr>
      <w:rPr>
        <w:rFonts w:hint="default" w:ascii="Symbol" w:hAnsi="Symbol"/>
      </w:rPr>
    </w:lvl>
    <w:lvl w:ilvl="1" w:tplc="0C090003" w:tentative="true">
      <w:start w:val="1"/>
      <w:numFmt w:val="bullet"/>
      <w:lvlText w:val="o"/>
      <w:lvlJc w:val="left"/>
      <w:pPr>
        <w:ind w:left="1440" w:hanging="360"/>
      </w:pPr>
      <w:rPr>
        <w:rFonts w:hint="default" w:ascii="Courier New" w:hAnsi="Courier New" w:cs="Courier New"/>
      </w:rPr>
    </w:lvl>
    <w:lvl w:ilvl="2" w:tplc="0C090005" w:tentative="true">
      <w:start w:val="1"/>
      <w:numFmt w:val="bullet"/>
      <w:lvlText w:val=""/>
      <w:lvlJc w:val="left"/>
      <w:pPr>
        <w:ind w:left="2160" w:hanging="360"/>
      </w:pPr>
      <w:rPr>
        <w:rFonts w:hint="default" w:ascii="Wingdings" w:hAnsi="Wingdings"/>
      </w:rPr>
    </w:lvl>
    <w:lvl w:ilvl="3" w:tplc="0C090001" w:tentative="true">
      <w:start w:val="1"/>
      <w:numFmt w:val="bullet"/>
      <w:lvlText w:val=""/>
      <w:lvlJc w:val="left"/>
      <w:pPr>
        <w:ind w:left="2880" w:hanging="360"/>
      </w:pPr>
      <w:rPr>
        <w:rFonts w:hint="default" w:ascii="Symbol" w:hAnsi="Symbol"/>
      </w:rPr>
    </w:lvl>
    <w:lvl w:ilvl="4" w:tplc="0C090003" w:tentative="true">
      <w:start w:val="1"/>
      <w:numFmt w:val="bullet"/>
      <w:lvlText w:val="o"/>
      <w:lvlJc w:val="left"/>
      <w:pPr>
        <w:ind w:left="3600" w:hanging="360"/>
      </w:pPr>
      <w:rPr>
        <w:rFonts w:hint="default" w:ascii="Courier New" w:hAnsi="Courier New" w:cs="Courier New"/>
      </w:rPr>
    </w:lvl>
    <w:lvl w:ilvl="5" w:tplc="0C090005" w:tentative="true">
      <w:start w:val="1"/>
      <w:numFmt w:val="bullet"/>
      <w:lvlText w:val=""/>
      <w:lvlJc w:val="left"/>
      <w:pPr>
        <w:ind w:left="4320" w:hanging="360"/>
      </w:pPr>
      <w:rPr>
        <w:rFonts w:hint="default" w:ascii="Wingdings" w:hAnsi="Wingdings"/>
      </w:rPr>
    </w:lvl>
    <w:lvl w:ilvl="6" w:tplc="0C090001" w:tentative="true">
      <w:start w:val="1"/>
      <w:numFmt w:val="bullet"/>
      <w:lvlText w:val=""/>
      <w:lvlJc w:val="left"/>
      <w:pPr>
        <w:ind w:left="5040" w:hanging="360"/>
      </w:pPr>
      <w:rPr>
        <w:rFonts w:hint="default" w:ascii="Symbol" w:hAnsi="Symbol"/>
      </w:rPr>
    </w:lvl>
    <w:lvl w:ilvl="7" w:tplc="0C090003" w:tentative="true">
      <w:start w:val="1"/>
      <w:numFmt w:val="bullet"/>
      <w:lvlText w:val="o"/>
      <w:lvlJc w:val="left"/>
      <w:pPr>
        <w:ind w:left="5760" w:hanging="360"/>
      </w:pPr>
      <w:rPr>
        <w:rFonts w:hint="default" w:ascii="Courier New" w:hAnsi="Courier New" w:cs="Courier New"/>
      </w:rPr>
    </w:lvl>
    <w:lvl w:ilvl="8" w:tplc="0C090005" w:tentative="true">
      <w:start w:val="1"/>
      <w:numFmt w:val="bullet"/>
      <w:lvlText w:val=""/>
      <w:lvlJc w:val="left"/>
      <w:pPr>
        <w:ind w:left="6480" w:hanging="360"/>
      </w:pPr>
      <w:rPr>
        <w:rFonts w:hint="default" w:ascii="Wingdings" w:hAnsi="Wingdings"/>
      </w:rPr>
    </w:lvl>
  </w:abstractNum>
  <w:abstractNum w:abstractNumId="1">
    <w:nsid w:val="7E706046"/>
    <w:multiLevelType w:val="hybridMultilevel"/>
    <w:tmpl w:val="336E8F2C"/>
    <w:lvl w:ilvl="0" w:tplc="0C09000F">
      <w:start w:val="1"/>
      <w:numFmt w:val="decimal"/>
      <w:lvlText w:val="%1."/>
      <w:lvlJc w:val="left"/>
      <w:pPr>
        <w:ind w:left="720" w:hanging="360"/>
      </w:pPr>
    </w:lvl>
    <w:lvl w:ilvl="1" w:tplc="0C090019" w:tentative="true">
      <w:start w:val="1"/>
      <w:numFmt w:val="lowerLetter"/>
      <w:lvlText w:val="%2."/>
      <w:lvlJc w:val="left"/>
      <w:pPr>
        <w:ind w:left="1440" w:hanging="360"/>
      </w:pPr>
    </w:lvl>
    <w:lvl w:ilvl="2" w:tplc="0C09001B" w:tentative="true">
      <w:start w:val="1"/>
      <w:numFmt w:val="lowerRoman"/>
      <w:lvlText w:val="%3."/>
      <w:lvlJc w:val="right"/>
      <w:pPr>
        <w:ind w:left="2160" w:hanging="180"/>
      </w:pPr>
    </w:lvl>
    <w:lvl w:ilvl="3" w:tplc="0C09000F" w:tentative="true">
      <w:start w:val="1"/>
      <w:numFmt w:val="decimal"/>
      <w:lvlText w:val="%4."/>
      <w:lvlJc w:val="left"/>
      <w:pPr>
        <w:ind w:left="2880" w:hanging="360"/>
      </w:pPr>
    </w:lvl>
    <w:lvl w:ilvl="4" w:tplc="0C090019" w:tentative="true">
      <w:start w:val="1"/>
      <w:numFmt w:val="lowerLetter"/>
      <w:lvlText w:val="%5."/>
      <w:lvlJc w:val="left"/>
      <w:pPr>
        <w:ind w:left="3600" w:hanging="360"/>
      </w:pPr>
    </w:lvl>
    <w:lvl w:ilvl="5" w:tplc="0C09001B" w:tentative="true">
      <w:start w:val="1"/>
      <w:numFmt w:val="lowerRoman"/>
      <w:lvlText w:val="%6."/>
      <w:lvlJc w:val="right"/>
      <w:pPr>
        <w:ind w:left="4320" w:hanging="180"/>
      </w:pPr>
    </w:lvl>
    <w:lvl w:ilvl="6" w:tplc="0C09000F" w:tentative="true">
      <w:start w:val="1"/>
      <w:numFmt w:val="decimal"/>
      <w:lvlText w:val="%7."/>
      <w:lvlJc w:val="left"/>
      <w:pPr>
        <w:ind w:left="5040" w:hanging="360"/>
      </w:pPr>
    </w:lvl>
    <w:lvl w:ilvl="7" w:tplc="0C090019" w:tentative="true">
      <w:start w:val="1"/>
      <w:numFmt w:val="lowerLetter"/>
      <w:lvlText w:val="%8."/>
      <w:lvlJc w:val="left"/>
      <w:pPr>
        <w:ind w:left="5760" w:hanging="360"/>
      </w:pPr>
    </w:lvl>
    <w:lvl w:ilvl="8" w:tplc="0C09001B" w:tentative="true">
      <w:start w:val="1"/>
      <w:numFmt w:val="lowerRoman"/>
      <w:lvlText w:val="%9."/>
      <w:lvlJc w:val="right"/>
      <w:pPr>
        <w:ind w:left="6480" w:hanging="180"/>
      </w:pPr>
    </w:lvl>
  </w:abstractNum>
  <w:num w:numId="1">
    <w:abstractNumId w:val="1"/>
  </w:num>
  <w:num w:numId="2">
    <w:abstractNumId w:val="0"/>
  </w:num>
</w:numbering>
</file>

<file path=word/settings.xml><?xml version="1.0" encoding="utf-8"?>
<w:settings xmlns:w="http://schemas.openxmlformats.org/wordprocessingml/2006/main" xmlns:m="http://schemas.openxmlformats.org/officeDocument/2006/math" xmlns:w14="http://schemas.microsoft.com/office/word/2010/wordml" xmlns:r="http://schemas.openxmlformats.org/officeDocument/2006/relationships" xmlns:wp="http://schemas.openxmlformats.org/drawingml/2006/wordprocessingDrawing" xmlns:a="http://schemas.openxmlformats.org/drawingml/2006/main" xmlns:wp14="http://schemas.microsoft.com/office/word/2010/wordprocessingDrawing" xmlns:w15="http://schemas.microsoft.com/office/word/2012/wordml" xmlns:mc="http://schemas.openxmlformats.org/markup-compatibility/2006" xmlns:a14="http://schemas.microsoft.com/office/drawing/2010/main" xmlns:sl="http://schemas.openxmlformats.org/schemaLibrary/2006/main" xmlns:wne="http://schemas.microsoft.com/office/word/2006/wordml" xmlns:c="http://schemas.openxmlformats.org/drawingml/2006/chart" xmlns:cdr="http://schemas.openxmlformats.org/drawingml/2006/chartDrawing" xmlns:c14="http://schemas.microsoft.com/office/drawing/2007/8/2/chart" xmlns:dgm="http://schemas.openxmlformats.org/drawingml/2006/diagram" xmlns:pic="http://schemas.openxmlformats.org/drawingml/2006/picture" xmlns:xdr="http://schemas.openxmlformats.org/drawingml/2006/spreadsheetDrawing" xmlns:dsp="http://schemas.microsoft.com/office/drawing/2008/diagram" xmlns:xvml="urn:schemas-microsoft-com:office:excel" xmlns:o="urn:schemas-microsoft-com:office:office" xmlns:v="urn:schemas-microsoft-com:vml" xmlns:w10="urn:schemas-microsoft-com:office:word" xmlns:pvml="urn:schemas-microsoft-com:office:powerpoint" xmlns:cppr="http://schemas.microsoft.com/office/2006/coverPageProps" xmlns:odx="http://opendope.org/xpaths" xmlns:odc="http://opendope.org/conditions" xmlns:odq="http://opendope.org/questions" xmlns:oda="http://opendope.org/answers" xmlns:odi="http://opendope.org/components" xmlns:odgm="http://opendope.org/SmartArt/DataHierarchy" xmlns:b="http://schemas.openxmlformats.org/officeDocument/2006/bibliography" xmlns:msink="http://schemas.microsoft.com/ink/2010/main" xmlns:cdr14="http://schemas.microsoft.com/office/drawing/2010/chartDrawing" xmlns:c15="http://schemas.microsoft.com/office/drawing/2012/chart" xmlns:cs="http://schemas.microsoft.com/office/drawing/2012/chartStyle" xmlns:ns38="http://www.w3.org/1998/Math/MathML" xmlns:ns39="http://www.w3.org/2003/InkML" xmlns:a13cmd="http://schemas.microsoft.com/office/drawing/2013/main/command" xmlns:cx="http://schemas.microsoft.com/office/drawing/2014/chartex" xmlns:c16="http://schemas.microsoft.com/office/drawing/2014/chart" xmlns:dgm1611="http://schemas.microsoft.com/office/drawing/2016/11/diagram" xmlns:c173="http://schemas.microsoft.com/office/drawing/2017/03/chart" xmlns:am3d="http://schemas.microsoft.com/office/drawing/2017/model3d" xmlns:an18="http://schemas.microsoft.com/office/drawing/2018/animation" xmlns:anam3d="http://schemas.microsoft.com/office/drawing/2018/animation/model3d" xmlns:iact="http://schemas.microsoft.com/office/powerpoint/2014/inkAction" xmlns:thm15="http://schemas.microsoft.com/office/thememl/2012/main" xmlns:wps="http://schemas.microsoft.com/office/word/2010/wordprocessingShape" xmlns:wpc="http://schemas.microsoft.com/office/word/2010/wordprocessingCanvas" xmlns:wpg="http://schemas.microsoft.com/office/word/2010/wordprocessingGroup" xmlns:w16se="http://schemas.microsoft.com/office/word/2015/wordml/symex" xmlns:w16cid="http://schemas.microsoft.com/office/word/2016/wordml/cid" xmlns:wetp="http://schemas.microsoft.com/office/webextensions/taskpanes/2010/11" xmlns:we="http://schemas.microsoft.com/office/webextensions/webextension/2010/11" xmlns:comp="http://schemas.openxmlformats.org/drawingml/2006/compatibility" xmlns:lc="http://schemas.openxmlformats.org/drawingml/2006/lockedCanvas" xmlns:dgm14="http://schemas.microsoft.com/office/drawing/2010/diagram" xmlns:a15="http://schemas.microsoft.com/office/drawing/2012/main" xmlns:pic14="http://schemas.microsoft.com/office/drawing/2010/picture" xmlns:c16ac="http://schemas.microsoft.com/office/drawing/2014/chart/ac" xmlns:a16="http://schemas.microsoft.com/office/drawing/2014/main" xmlns:a1611="http://schemas.microsoft.com/office/drawing/2016/11/main" xmlns:dgm1612="http://schemas.microsoft.com/office/drawing/2016/12/diagram" xmlns:a16svg="http://schemas.microsoft.com/office/drawing/2016/SVG/main" xmlns:adec="http://schemas.microsoft.com/office/drawing/2017/decorative" xmlns:a18hc="http://schemas.microsoft.com/office/drawing/2018/hyperlinkcolor" xmlns:wp15="http://schemas.microsoft.com/office/word/2012/wordprocessingDrawing" mc:Ignorable="">
  <w:compat>
    <w:compatSetting w:name="overrideTableStyleFontSizeAndJustification" w:uri="http://schemas.microsoft.com/office/word" w:val="1"/>
  </w:compat>
</w:settings>
</file>

<file path=word/styles.xml><?xml version="1.0" encoding="utf-8"?>
<w:styles xmlns:w="http://schemas.openxmlformats.org/wordprocessingml/2006/main" xmlns:m="http://schemas.openxmlformats.org/officeDocument/2006/math" xmlns:w14="http://schemas.microsoft.com/office/word/2010/wordml" xmlns:r="http://schemas.openxmlformats.org/officeDocument/2006/relationships" xmlns:wp="http://schemas.openxmlformats.org/drawingml/2006/wordprocessingDrawing" xmlns:a="http://schemas.openxmlformats.org/drawingml/2006/main" xmlns:wp14="http://schemas.microsoft.com/office/word/2010/wordprocessingDrawing" xmlns:w15="http://schemas.microsoft.com/office/word/2012/wordml" xmlns:mc="http://schemas.openxmlformats.org/markup-compatibility/2006" xmlns:a14="http://schemas.microsoft.com/office/drawing/2010/main" xmlns:sl="http://schemas.openxmlformats.org/schemaLibrary/2006/main" xmlns:wne="http://schemas.microsoft.com/office/word/2006/wordml" xmlns:c="http://schemas.openxmlformats.org/drawingml/2006/chart" xmlns:cdr="http://schemas.openxmlformats.org/drawingml/2006/chartDrawing" xmlns:c14="http://schemas.microsoft.com/office/drawing/2007/8/2/chart" xmlns:dgm="http://schemas.openxmlformats.org/drawingml/2006/diagram" xmlns:pic="http://schemas.openxmlformats.org/drawingml/2006/picture" xmlns:xdr="http://schemas.openxmlformats.org/drawingml/2006/spreadsheetDrawing" xmlns:dsp="http://schemas.microsoft.com/office/drawing/2008/diagram" xmlns:xvml="urn:schemas-microsoft-com:office:excel" xmlns:o="urn:schemas-microsoft-com:office:office" xmlns:v="urn:schemas-microsoft-com:vml" xmlns:w10="urn:schemas-microsoft-com:office:word" xmlns:pvml="urn:schemas-microsoft-com:office:powerpoint" xmlns:cppr="http://schemas.microsoft.com/office/2006/coverPageProps" xmlns:odx="http://opendope.org/xpaths" xmlns:odc="http://opendope.org/conditions" xmlns:odq="http://opendope.org/questions" xmlns:oda="http://opendope.org/answers" xmlns:odi="http://opendope.org/components" xmlns:odgm="http://opendope.org/SmartArt/DataHierarchy" xmlns:b="http://schemas.openxmlformats.org/officeDocument/2006/bibliography" xmlns:msink="http://schemas.microsoft.com/ink/2010/main" xmlns:cdr14="http://schemas.microsoft.com/office/drawing/2010/chartDrawing" xmlns:c15="http://schemas.microsoft.com/office/drawing/2012/chart" xmlns:cs="http://schemas.microsoft.com/office/drawing/2012/chartStyle" xmlns:ns38="http://www.w3.org/1998/Math/MathML" xmlns:ns39="http://www.w3.org/2003/InkML" xmlns:a13cmd="http://schemas.microsoft.com/office/drawing/2013/main/command" xmlns:cx="http://schemas.microsoft.com/office/drawing/2014/chartex" xmlns:c16="http://schemas.microsoft.com/office/drawing/2014/chart" xmlns:dgm1611="http://schemas.microsoft.com/office/drawing/2016/11/diagram" xmlns:c173="http://schemas.microsoft.com/office/drawing/2017/03/chart" xmlns:am3d="http://schemas.microsoft.com/office/drawing/2017/model3d" xmlns:an18="http://schemas.microsoft.com/office/drawing/2018/animation" xmlns:anam3d="http://schemas.microsoft.com/office/drawing/2018/animation/model3d" xmlns:iact="http://schemas.microsoft.com/office/powerpoint/2014/inkAction" xmlns:thm15="http://schemas.microsoft.com/office/thememl/2012/main" xmlns:wps="http://schemas.microsoft.com/office/word/2010/wordprocessingShape" xmlns:wpc="http://schemas.microsoft.com/office/word/2010/wordprocessingCanvas" xmlns:wpg="http://schemas.microsoft.com/office/word/2010/wordprocessingGroup" xmlns:w16se="http://schemas.microsoft.com/office/word/2015/wordml/symex" xmlns:w16cid="http://schemas.microsoft.com/office/word/2016/wordml/cid" xmlns:wetp="http://schemas.microsoft.com/office/webextensions/taskpanes/2010/11" xmlns:we="http://schemas.microsoft.com/office/webextensions/webextension/2010/11" xmlns:comp="http://schemas.openxmlformats.org/drawingml/2006/compatibility" xmlns:lc="http://schemas.openxmlformats.org/drawingml/2006/lockedCanvas" xmlns:dgm14="http://schemas.microsoft.com/office/drawing/2010/diagram" xmlns:a15="http://schemas.microsoft.com/office/drawing/2012/main" xmlns:pic14="http://schemas.microsoft.com/office/drawing/2010/picture" xmlns:c16ac="http://schemas.microsoft.com/office/drawing/2014/chart/ac" xmlns:a16="http://schemas.microsoft.com/office/drawing/2014/main" xmlns:a1611="http://schemas.microsoft.com/office/drawing/2016/11/main" xmlns:dgm1612="http://schemas.microsoft.com/office/drawing/2016/12/diagram" xmlns:a16svg="http://schemas.microsoft.com/office/drawing/2016/SVG/main" xmlns:adec="http://schemas.microsoft.com/office/drawing/2017/decorative" xmlns:a18hc="http://schemas.microsoft.com/office/drawing/2018/hyperlinkcolor" xmlns:wp15="http://schemas.microsoft.com/office/word/2012/wordprocessingDrawing">
  <w:docDefaults>
    <w:rPrDefault>
      <w:rPr>
        <w:rFonts w:asciiTheme="minorHAnsi" w:hAnsiTheme="minorHAnsi" w:eastAsiaTheme="minorHAnsi" w:cstheme="minorBidi"/>
        <w:sz w:val="22"/>
        <w:szCs w:val="22"/>
        <w:lang w:val="en-US" w:eastAsia="en-US" w:bidi="ar-SA"/>
      </w:rPr>
    </w:rPrDefault>
    <w:pPrDefault>
      <w:pPr>
        <w:spacing w:after="200" w:line="276" w:lineRule="auto"/>
      </w:pPr>
    </w:pPrDefault>
  </w:docDefaults>
  <w:latentStyles w:defLockedState="false" w:defUIPriority="99" w:defSemiHidden="true" w:defUnhideWhenUsed="true" w:defQFormat="false" w:count="267">
    <w:lsdException w:name="Normal" w:uiPriority="0" w:semiHidden="false" w:unhideWhenUsed="false" w:qFormat="true"/>
    <w:lsdException w:name="heading 1" w:uiPriority="9" w:semiHidden="false" w:unhideWhenUsed="false" w:qFormat="true"/>
    <w:lsdException w:name="heading 2" w:uiPriority="9" w:qFormat="true"/>
    <w:lsdException w:name="heading 3" w:uiPriority="9" w:qFormat="true"/>
    <w:lsdException w:name="heading 4" w:uiPriority="9" w:qFormat="true"/>
    <w:lsdException w:name="Title" w:uiPriority="10" w:semiHidden="false" w:unhideWhenUsed="false" w:qFormat="true"/>
    <w:lsdException w:name="Default Paragraph Font" w:uiPriority="1"/>
    <w:lsdException w:name="Subtitle" w:uiPriority="11" w:semiHidden="false" w:unhideWhenUsed="false" w:qFormat="true"/>
    <w:lsdException w:name="Emphasis" w:uiPriority="20" w:semiHidden="false" w:unhideWhenUsed="false" w:qFormat="true"/>
    <w:lsdException w:name="Table Grid" w:uiPriority="59" w:semiHidden="false" w:unhideWhenUsed="false"/>
  </w:latentStyles>
  <w:style w:type="paragraph" w:styleId="Normal" w:default="true">
    <w:name w:val="Normal"/>
    <w:qFormat/>
    <w:rsid w:val="004A3277"/>
  </w:style>
  <w:style w:type="paragraph" w:styleId="Heading1">
    <w:name w:val="heading 1"/>
    <w:basedOn w:val="Normal"/>
    <w:next w:val="Normal"/>
    <w:link w:val="Heading1Char"/>
    <w:uiPriority w:val="9"/>
    <w:qFormat/>
    <w:rsid w:val="00841CD9"/>
    <w:pPr>
      <w:keepNext/>
      <w:keepLines/>
      <w:spacing w:before="480"/>
      <w:outlineLvl w:val="0"/>
    </w:pPr>
    <w:rPr>
      <w:rFonts w:asciiTheme="majorHAnsi" w:hAnsiTheme="majorHAnsi" w:eastAsiaTheme="majorEastAsia"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841CD9"/>
    <w:pPr>
      <w:keepNext/>
      <w:keepLines/>
      <w:spacing w:before="200"/>
      <w:outlineLvl w:val="1"/>
    </w:pPr>
    <w:rPr>
      <w:rFonts w:asciiTheme="majorHAnsi" w:hAnsiTheme="majorHAnsi" w:eastAsiaTheme="majorEastAsia" w:cstheme="majorBidi"/>
      <w:b/>
      <w:bCs/>
      <w:color w:val="4F81BD" w:themeColor="accent1"/>
      <w:sz w:val="26"/>
      <w:szCs w:val="26"/>
    </w:rPr>
  </w:style>
  <w:style w:type="paragraph" w:styleId="Heading3">
    <w:name w:val="heading 3"/>
    <w:basedOn w:val="Normal"/>
    <w:next w:val="Normal"/>
    <w:link w:val="Heading3Char"/>
    <w:uiPriority w:val="9"/>
    <w:unhideWhenUsed/>
    <w:qFormat/>
    <w:rsid w:val="00841CD9"/>
    <w:pPr>
      <w:keepNext/>
      <w:keepLines/>
      <w:spacing w:before="200"/>
      <w:outlineLvl w:val="2"/>
    </w:pPr>
    <w:rPr>
      <w:rFonts w:asciiTheme="majorHAnsi" w:hAnsiTheme="majorHAnsi" w:eastAsiaTheme="majorEastAsia" w:cstheme="majorBidi"/>
      <w:b/>
      <w:bCs/>
      <w:color w:val="4F81BD" w:themeColor="accent1"/>
    </w:rPr>
  </w:style>
  <w:style w:type="paragraph" w:styleId="Heading4">
    <w:name w:val="heading 4"/>
    <w:basedOn w:val="Normal"/>
    <w:next w:val="Normal"/>
    <w:link w:val="Heading4Char"/>
    <w:uiPriority w:val="9"/>
    <w:unhideWhenUsed/>
    <w:qFormat/>
    <w:rsid w:val="00841CD9"/>
    <w:pPr>
      <w:keepNext/>
      <w:keepLines/>
      <w:spacing w:before="200"/>
      <w:outlineLvl w:val="3"/>
    </w:pPr>
    <w:rPr>
      <w:rFonts w:asciiTheme="majorHAnsi" w:hAnsiTheme="majorHAnsi" w:eastAsiaTheme="majorEastAsia" w:cstheme="majorBidi"/>
      <w:b/>
      <w:bCs/>
      <w:i/>
      <w:iCs/>
      <w:color w:val="4F81BD" w:themeColor="accent1"/>
    </w:rPr>
  </w:style>
  <w:style w:type="character" w:styleId="DefaultParagraphFont" w:default="true">
    <w:name w:val="Default Paragraph Font"/>
    <w:uiPriority w:val="1"/>
    <w:semiHidden/>
    <w:unhideWhenUsed/>
  </w:style>
  <w:style w:type="paragraph" w:styleId="Header">
    <w:name w:val="header"/>
    <w:basedOn w:val="Normal"/>
    <w:link w:val="HeaderChar"/>
    <w:uiPriority w:val="99"/>
    <w:unhideWhenUsed/>
    <w:rsid w:val="00841CD9"/>
    <w:pPr>
      <w:tabs>
        <w:tab w:val="center" w:pos="4680"/>
        <w:tab w:val="right" w:pos="9360"/>
      </w:tabs>
    </w:pPr>
  </w:style>
  <w:style w:type="character" w:styleId="HeaderChar" w:customStyle="true">
    <w:name w:val="Header Char"/>
    <w:basedOn w:val="DefaultParagraphFont"/>
    <w:link w:val="Header"/>
    <w:uiPriority w:val="99"/>
    <w:rsid w:val="00841CD9"/>
  </w:style>
  <w:style w:type="character" w:styleId="Heading1Char" w:customStyle="true">
    <w:name w:val="Heading 1 Char"/>
    <w:basedOn w:val="DefaultParagraphFont"/>
    <w:link w:val="Heading1"/>
    <w:uiPriority w:val="9"/>
    <w:rsid w:val="00841CD9"/>
    <w:rPr>
      <w:rFonts w:asciiTheme="majorHAnsi" w:hAnsiTheme="majorHAnsi" w:eastAsiaTheme="majorEastAsia" w:cstheme="majorBidi"/>
      <w:b/>
      <w:bCs/>
      <w:color w:val="365F91" w:themeColor="accent1" w:themeShade="BF"/>
      <w:sz w:val="28"/>
      <w:szCs w:val="28"/>
    </w:rPr>
  </w:style>
  <w:style w:type="character" w:styleId="Heading2Char" w:customStyle="true">
    <w:name w:val="Heading 2 Char"/>
    <w:basedOn w:val="DefaultParagraphFont"/>
    <w:link w:val="Heading2"/>
    <w:uiPriority w:val="9"/>
    <w:rsid w:val="00841CD9"/>
    <w:rPr>
      <w:rFonts w:asciiTheme="majorHAnsi" w:hAnsiTheme="majorHAnsi" w:eastAsiaTheme="majorEastAsia" w:cstheme="majorBidi"/>
      <w:b/>
      <w:bCs/>
      <w:color w:val="4F81BD" w:themeColor="accent1"/>
      <w:sz w:val="26"/>
      <w:szCs w:val="26"/>
    </w:rPr>
  </w:style>
  <w:style w:type="character" w:styleId="Heading3Char" w:customStyle="true">
    <w:name w:val="Heading 3 Char"/>
    <w:basedOn w:val="DefaultParagraphFont"/>
    <w:link w:val="Heading3"/>
    <w:uiPriority w:val="9"/>
    <w:rsid w:val="00841CD9"/>
    <w:rPr>
      <w:rFonts w:asciiTheme="majorHAnsi" w:hAnsiTheme="majorHAnsi" w:eastAsiaTheme="majorEastAsia" w:cstheme="majorBidi"/>
      <w:b/>
      <w:bCs/>
      <w:color w:val="4F81BD" w:themeColor="accent1"/>
    </w:rPr>
  </w:style>
  <w:style w:type="character" w:styleId="Heading4Char" w:customStyle="true">
    <w:name w:val="Heading 4 Char"/>
    <w:basedOn w:val="DefaultParagraphFont"/>
    <w:link w:val="Heading4"/>
    <w:uiPriority w:val="9"/>
    <w:rsid w:val="00841CD9"/>
    <w:rPr>
      <w:rFonts w:asciiTheme="majorHAnsi" w:hAnsiTheme="majorHAnsi" w:eastAsiaTheme="majorEastAsia" w:cstheme="majorBidi"/>
      <w:b/>
      <w:bCs/>
      <w:i/>
      <w:iCs/>
      <w:color w:val="4F81BD" w:themeColor="accent1"/>
    </w:rPr>
  </w:style>
  <w:style w:type="paragraph" w:styleId="NormalIndent">
    <w:name w:val="Normal Indent"/>
    <w:basedOn w:val="Normal"/>
    <w:uiPriority w:val="99"/>
    <w:unhideWhenUsed/>
    <w:rsid w:val="00841CD9"/>
    <w:pPr>
      <w:ind w:left="720"/>
    </w:pPr>
  </w:style>
  <w:style w:type="paragraph" w:styleId="Subtitle">
    <w:name w:val="Subtitle"/>
    <w:basedOn w:val="Normal"/>
    <w:next w:val="Normal"/>
    <w:link w:val="SubtitleChar"/>
    <w:uiPriority w:val="11"/>
    <w:qFormat/>
    <w:rsid w:val="00841CD9"/>
    <w:pPr>
      <w:numPr>
        <w:ilvl w:val="1"/>
      </w:numPr>
      <w:ind w:left="86"/>
    </w:pPr>
    <w:rPr>
      <w:rFonts w:asciiTheme="majorHAnsi" w:hAnsiTheme="majorHAnsi" w:eastAsiaTheme="majorEastAsia" w:cstheme="majorBidi"/>
      <w:i/>
      <w:iCs/>
      <w:color w:val="4F81BD" w:themeColor="accent1"/>
      <w:spacing w:val="15"/>
      <w:sz w:val="24"/>
      <w:szCs w:val="24"/>
    </w:rPr>
  </w:style>
  <w:style w:type="character" w:styleId="SubtitleChar" w:customStyle="true">
    <w:name w:val="Subtitle Char"/>
    <w:basedOn w:val="DefaultParagraphFont"/>
    <w:link w:val="Subtitle"/>
    <w:uiPriority w:val="11"/>
    <w:rsid w:val="00841CD9"/>
    <w:rPr>
      <w:rFonts w:asciiTheme="majorHAnsi" w:hAnsiTheme="majorHAnsi" w:eastAsiaTheme="majorEastAsia" w:cstheme="majorBidi"/>
      <w:i/>
      <w:iCs/>
      <w:color w:val="4F81BD" w:themeColor="accent1"/>
      <w:spacing w:val="15"/>
      <w:sz w:val="24"/>
      <w:szCs w:val="24"/>
    </w:rPr>
  </w:style>
  <w:style w:type="paragraph" w:styleId="Title">
    <w:name w:val="Title"/>
    <w:basedOn w:val="Normal"/>
    <w:next w:val="Normal"/>
    <w:link w:val="TitleChar"/>
    <w:uiPriority w:val="10"/>
    <w:qFormat/>
    <w:rsid w:val="00841CD9"/>
    <w:pPr>
      <w:pBdr>
        <w:bottom w:val="single" w:color="4F81BD" w:themeColor="accent1" w:sz="8" w:space="4"/>
      </w:pBdr>
      <w:spacing w:after="300"/>
      <w:contextualSpacing/>
    </w:pPr>
    <w:rPr>
      <w:rFonts w:asciiTheme="majorHAnsi" w:hAnsiTheme="majorHAnsi" w:eastAsiaTheme="majorEastAsia" w:cstheme="majorBidi"/>
      <w:color w:val="17365D" w:themeColor="text2" w:themeShade="BF"/>
      <w:spacing w:val="5"/>
      <w:kern w:val="28"/>
      <w:sz w:val="52"/>
      <w:szCs w:val="52"/>
    </w:rPr>
  </w:style>
  <w:style w:type="character" w:styleId="TitleChar" w:customStyle="true">
    <w:name w:val="Title Char"/>
    <w:basedOn w:val="DefaultParagraphFont"/>
    <w:link w:val="Title"/>
    <w:uiPriority w:val="10"/>
    <w:rsid w:val="00841CD9"/>
    <w:rPr>
      <w:rFonts w:asciiTheme="majorHAnsi" w:hAnsiTheme="majorHAnsi" w:eastAsiaTheme="majorEastAsia" w:cstheme="majorBidi"/>
      <w:color w:val="17365D" w:themeColor="text2" w:themeShade="BF"/>
      <w:spacing w:val="5"/>
      <w:kern w:val="28"/>
      <w:sz w:val="52"/>
      <w:szCs w:val="52"/>
    </w:rPr>
  </w:style>
  <w:style w:type="character" w:styleId="Emphasis">
    <w:name w:val="Emphasis"/>
    <w:basedOn w:val="DefaultParagraphFont"/>
    <w:uiPriority w:val="20"/>
    <w:qFormat/>
    <w:rsid w:val="00D1197D"/>
    <w:rPr>
      <w:i/>
      <w:iCs/>
    </w:rPr>
  </w:style>
  <w:style w:type="character" w:styleId="Hyperlink">
    <w:name w:val="Hyperlink"/>
    <w:basedOn w:val="DefaultParagraphFont"/>
    <w:uiPriority w:val="99"/>
    <w:unhideWhenUsed/>
    <w:rPr>
      <w:color w:val="0000FF" w:themeColor="hyperlink"/>
      <w:u w:val="single"/>
    </w:rPr>
  </w:style>
  <w:style w:type="table" w:styleId="TableGrid">
    <w:name w:val="Table Grid"/>
    <w:basedOn w:val="TableNormal"/>
    <w:uiPriority w:val="59"/>
    <w:pPr>
      <w:spacing w:after="0" w:line="240" w:lineRule="auto"/>
    </w:pPr>
    <w:tblPr>
      <w:tblInd w:w="0" w:type="dxa"/>
      <w:tblBorders>
        <w:top w:val="single" w:color="000000" w:themeColor="text1" w:sz="4" w:space="0"/>
        <w:left w:val="single" w:color="000000" w:themeColor="text1" w:sz="4" w:space="0"/>
        <w:bottom w:val="single" w:color="000000" w:themeColor="text1" w:sz="4" w:space="0"/>
        <w:right w:val="single" w:color="000000" w:themeColor="text1" w:sz="4" w:space="0"/>
        <w:insideH w:val="single" w:color="000000" w:themeColor="text1" w:sz="4" w:space="0"/>
        <w:insideV w:val="single" w:color="000000" w:themeColor="text1" w:sz="4" w:space="0"/>
      </w:tblBorders>
      <w:tblCellMar>
        <w:top w:w="0" w:type="dxa"/>
        <w:left w:w="108" w:type="dxa"/>
        <w:bottom w:w="0" w:type="dxa"/>
        <w:right w:w="108" w:type="dxa"/>
      </w:tblCellMar>
    </w:tblPr>
  </w:style>
  <w:style w:type="table" w:styleId="TableNormal" w:default="true">
    <w:name w:val="Normal Table"/>
    <w:uiPriority w:val="99"/>
    <w:semiHidden/>
    <w:unhideWhenUsed/>
    <w:qFormat/>
    <w:tblPr>
      <w:tblInd w:w="0" w:type="dxa"/>
      <w:tblCellMar>
        <w:top w:w="0" w:type="dxa"/>
        <w:left w:w="108" w:type="dxa"/>
        <w:bottom w:w="0" w:type="dxa"/>
        <w:right w:w="108" w:type="dxa"/>
      </w:tblCellMar>
    </w:tblPr>
  </w:style>
  <w:style w:type="paragraph" w:styleId="Caption">
    <w:name w:val="caption"/>
    <w:basedOn w:val="Normal"/>
    <w:next w:val="Normal"/>
    <w:uiPriority w:val="35"/>
    <w:semiHidden/>
    <w:unhideWhenUsed/>
    <w:qFormat/>
    <w:rsid w:val="007109C0"/>
    <w:pPr>
      <w:spacing w:line="240" w:lineRule="auto"/>
    </w:pPr>
    <w:rPr>
      <w:b/>
      <w:bCs/>
      <w:color w:val="4F81BD" w:themeColor="accent1"/>
      <w:sz w:val="18"/>
      <w:szCs w:val="18"/>
    </w:rPr>
  </w:style>
</w:styles>
</file>

<file path=word/_rels/document.xml.rels><?xml version="1.0" encoding="UTF-8" standalone="yes"?>
<Relationships xmlns="http://schemas.openxmlformats.org/package/2006/relationships">
    <Relationship Target="styles.xml" Type="http://schemas.openxmlformats.org/officeDocument/2006/relationships/styles" Id="rId1"/>
    <Relationship Target="settings.xml" Type="http://schemas.openxmlformats.org/officeDocument/2006/relationships/settings" Id="rId2"/>
    <Relationship Target="numbering.xml" Type="http://schemas.openxmlformats.org/officeDocument/2006/relationships/numbering" Id="rId3"/>
    <Relationship TargetMode="External" Target="https://www.legis.iowa.gov/docs/ico/chapter/17A.7.pdf" Type="http://schemas.openxmlformats.org/officeDocument/2006/relationships/hyperlink" Id="rId4"/>
    <Relationship TargetMode="External" Target="https://www.legis.iowa.gov/docs/ico/chapter/15.105.pdf" Type="http://schemas.openxmlformats.org/officeDocument/2006/relationships/hyperlink" Id="rId5"/>
    <Relationship TargetMode="External" Target="https://www.legis.iowa.gov/docs/iac/rule/261.42.4.pdf" Type="http://schemas.openxmlformats.org/officeDocument/2006/relationships/hyperlink" Id="rId6"/>
    <Relationship TargetMode="External" Target="https://www.legis.iowa.gov/docs/iac/rule/261.42.6.pdf" Type="http://schemas.openxmlformats.org/officeDocument/2006/relationships/hyperlink" Id="rId7"/>
    <Relationship TargetMode="External" Target="https://www.legis.iowa.gov/docs/iac/rule/261.42.3.pdf" Type="http://schemas.openxmlformats.org/officeDocument/2006/relationships/hyperlink" Id="rId8"/>
    <Relationship TargetMode="External" Target="https://www.legis.iowa.gov/docs/iac/rule/261.42.3.pdf" Type="http://schemas.openxmlformats.org/officeDocument/2006/relationships/hyperlink" Id="rId9"/>
    <Relationship TargetMode="External" Target="https://www.legis.iowa.gov/docs/iac/rule/261.42.3.pdf" Type="http://schemas.openxmlformats.org/officeDocument/2006/relationships/hyperlink" Id="rId10"/>
    <Relationship TargetMode="External" Target="https://www.legis.iowa.gov/docs/iac/rule/261.42.4.pdf" Type="http://schemas.openxmlformats.org/officeDocument/2006/relationships/hyperlink" Id="rId11"/>
    <Relationship TargetMode="External" Target="https://www.legis.iowa.gov/docs/ico/chapter/15.108.pdf" Type="http://schemas.openxmlformats.org/officeDocument/2006/relationships/hyperlink" Id="rId12"/>
</Relationships>

</file>

<file path=docProps/app.xml><?xml version="1.0" encoding="utf-8"?>
<properties:Properties xmlns:properties="http://schemas.openxmlformats.org/officeDocument/2006/extended-properties" xmlns:vt="http://schemas.openxmlformats.org/officeDocument/2006/docPropsVTypes"/>
</file>

<file path=docProps/core.xml><?xml version="1.0" encoding="utf-8"?>
<cp:coreProperties xmlns:cp="http://schemas.openxmlformats.org/package/2006/metadata/core-properties" xmlns:dcterms="http://purl.org/dc/terms/" xmlns:dc="http://purl.org/dc/elements/1.1/"/>
</file>