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415</w:t>
      </w:r>
    </w:p>
    <w:p>
      <w:pPr>
        <w:spacing w:before="0" w:after="0"/>
        <w:ind w:left="120"/>
        <w:jc w:val="center"/>
      </w:pPr>
      <w:r>
        <w:rPr>
          <w:rFonts w:ascii="Times New Roman" w:hAnsi="Times New Roman"/>
          <w:b w:val="false"/>
          <w:i w:val="false"/>
          <w:color w:val="000000"/>
          <w:sz w:val="21"/>
        </w:rPr>
        <w:t>TECHNICAL ASSISTANCE PROGRAM</w:t>
      </w:r>
    </w:p>
    <w:p>
      <w:pPr>
        <w:spacing w:before="0" w:after="0"/>
        <w:ind w:left="120"/>
        <w:jc w:val="center"/>
      </w:pPr>
      <w:r>
        <w:rPr>
          <w:rFonts w:ascii="Times New Roman" w:hAnsi="Times New Roman"/>
          <w:b w:val="false"/>
          <w:i w:val="false"/>
          <w:color w:val="000000"/>
          <w:sz w:val="14"/>
        </w:rPr>
        <w:t>[Prior to 2/7/24, see Historical Division[223] Ch 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261—415.1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Technical Assistance Program provides professional consultation in the areas of planning, project monitoring, local ordinance review, local historic district organizations, and general preservation consulting.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261—415.2</w:t>
      </w:r>
      <w:r>
        <w:rPr>
          <w:rFonts w:ascii="Times New Roman" w:hAnsi="Times New Roman"/>
          <w:b/>
          <w:i w:val="false"/>
          <w:color w:val="000000"/>
          <w:sz w:val="22"/>
        </w:rPr>
        <w:t xml:space="preserve">(303) </w:t>
      </w:r>
      <w:r>
        <w:rPr>
          <w:rFonts w:ascii="Times New Roman" w:hAnsi="Times New Roman"/>
          <w:b/>
          <w:i w:val="false"/>
          <w:color w:val="000000"/>
          <w:sz w:val="22"/>
        </w:rPr>
        <w:t xml:space="preserve">Regulations. </w:t>
      </w:r>
      <w:r>
        <w:rPr>
          <w:rFonts w:ascii="Times New Roman" w:hAnsi="Times New Roman"/>
          <w:b w:val="false"/>
          <w:i w:val="false"/>
          <w:color w:val="000000"/>
          <w:sz w:val="22"/>
        </w:rPr>
        <w:t>Technical assistance is provided as resources permit. First priority is given to projects relating to the National Register of Historic Places, the Certified Local Government program or a local preservation commission, and the preservation partnership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261—415.3</w:t>
      </w:r>
      <w:r>
        <w:rPr>
          <w:rFonts w:ascii="Times New Roman" w:hAnsi="Times New Roman"/>
          <w:b/>
          <w:i w:val="false"/>
          <w:color w:val="000000"/>
          <w:sz w:val="22"/>
        </w:rPr>
        <w:t xml:space="preserve">(303) </w:t>
      </w:r>
      <w:r>
        <w:rPr>
          <w:rFonts w:ascii="Times New Roman" w:hAnsi="Times New Roman"/>
          <w:b/>
          <w:i w:val="false"/>
          <w:color w:val="000000"/>
          <w:sz w:val="22"/>
        </w:rPr>
        <w:t xml:space="preserve">Services. </w:t>
      </w:r>
      <w:r>
        <w:rPr>
          <w:rFonts w:ascii="Times New Roman" w:hAnsi="Times New Roman"/>
          <w:b w:val="false"/>
          <w:i w:val="false"/>
          <w:color w:val="000000"/>
          <w:sz w:val="22"/>
        </w:rPr>
        <w:t>The technical assistance program provides service in these four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Planning assistance. This program provides on-site or other forms of consultation in the preparation and review of a community or county historic preservation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Project monitoring. The staff provides on-site or other forms of project monitoring and facilitation.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Local ordinance review and local historic district organization. In accordance with Iowa Code section </w:t>
      </w:r>
      <w:hyperlink r:id="rId5">
        <w:r>
          <w:rPr>
            <w:rStyle w:val="Hyperlink"/>
            <w:rFonts w:ascii="Times New Roman" w:hAnsi="Times New Roman"/>
            <w:b w:val="false"/>
            <w:i w:val="false"/>
            <w:color w:val="000000"/>
            <w:sz w:val="22"/>
          </w:rPr>
          <w:t>15.459(4)</w:t>
        </w:r>
      </w:hyperlink>
      <w:r>
        <w:rPr>
          <w:rFonts w:ascii="Times New Roman" w:hAnsi="Times New Roman"/>
          <w:b w:val="false"/>
          <w:i w:val="false"/>
          <w:color w:val="000000"/>
          <w:sz w:val="22"/>
        </w:rPr>
        <w:t>, the local commission shall submit the draft or final ordinance for review and approval by the staff. An existing commission shall similarly submit proposed local historic district designations for review and approval to the staff. Comments by the appropriate staff shall be supplied within 45 days from the receipt of complete documentation.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General technical assistance. Technical assistance in the physical preservation of properties is provided by staff. This service is provided on an individual request and time available basis. The services provided by the staff shall not substitute for private professional services.</w:t>
      </w:r>
    </w:p>
    <w:p>
      <w:pPr>
        <w:spacing w:before="0" w:after="0"/>
        <w:ind w:left="120"/>
        <w:jc w:val="both"/>
      </w:pPr>
      <w:r>
        <w:rPr>
          <w:rFonts w:ascii="Times New Roman" w:hAnsi="Times New Roman"/>
          <w:b w:val="false"/>
          <w:i w:val="false"/>
          <w:color w:val="000000"/>
          <w:sz w:val="22"/>
        </w:rPr>
        <w:t>All inquiries and requests may be directed to the State Historic Preservation Officer, Iowa Economic Development Authority, 1963 Bell Avenue, Suite 200, Des Moines, Iowa 50315, 515.348.6200.</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15.121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without Notice 5/12/89—published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[Editorial change: IAC Supplement 2/7/24]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59.pdf" Type="http://schemas.openxmlformats.org/officeDocument/2006/relationships/hyperlink" Id="rId5"/>
    <Relationship TargetMode="External" Target="https://www.legis.iowa.gov/docs/ico/chapter/15.12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