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406</w:t>
      </w:r>
    </w:p>
    <w:p>
      <w:pPr>
        <w:spacing w:before="0" w:after="0"/>
        <w:ind w:left="120"/>
        <w:jc w:val="center"/>
      </w:pPr>
      <w:r>
        <w:rPr>
          <w:rFonts w:ascii="Times New Roman" w:hAnsi="Times New Roman"/>
          <w:b w:val="false"/>
          <w:i w:val="false"/>
          <w:color w:val="000000"/>
          <w:sz w:val="21"/>
        </w:rPr>
        <w:t>ENERGY INFRASTRUCTURE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261—406.1</w:t>
      </w:r>
      <w:r>
        <w:rPr>
          <w:rFonts w:ascii="Times New Roman" w:hAnsi="Times New Roman"/>
          <w:b/>
          <w:i w:val="false"/>
          <w:color w:val="000000"/>
          <w:sz w:val="22"/>
        </w:rPr>
        <w:t xml:space="preserve">(15,476)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any entity that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“Borrower”</w:t>
      </w:r>
      <w:r>
        <w:rPr>
          <w:rFonts w:ascii="Times New Roman" w:hAnsi="Times New Roman"/>
          <w:b w:val="false"/>
          <w:i w:val="false"/>
          <w:color w:val="000000"/>
          <w:sz w:val="22"/>
        </w:rPr>
        <w:t> </w:t>
      </w:r>
      <w:r>
        <w:rPr>
          <w:rFonts w:ascii="Times New Roman" w:hAnsi="Times New Roman"/>
          <w:b w:val="false"/>
          <w:i w:val="false"/>
          <w:color w:val="000000"/>
          <w:sz w:val="22"/>
        </w:rPr>
        <w:t>means an applicant for the program that is approved for a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“Energy infrastructure”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476.46A(3)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energy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“IEC”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energy center established by Iowa Code section </w:t>
      </w:r>
      <w:hyperlink r:id="rId8">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w:t>
      </w:r>
      <w:r>
        <w:rPr>
          <w:rFonts w:ascii="Times New Roman" w:hAnsi="Times New Roman"/>
          <w:b w:val="false"/>
          <w:i w:val="false"/>
          <w:color w:val="000000"/>
          <w:sz w:val="22"/>
        </w:rPr>
        <w:t> </w:t>
      </w:r>
      <w:r>
        <w:rPr>
          <w:rFonts w:ascii="Times New Roman" w:hAnsi="Times New Roman"/>
          <w:b w:val="false"/>
          <w:i w:val="false"/>
          <w:color w:val="000000"/>
          <w:sz w:val="22"/>
        </w:rPr>
        <w:t>means an award of assistance with the requirement that the award be repaid with term, interest rate, and other conditions specified as part of the conditions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committee of the board established to review loan applications pursuant to </w:t>
      </w:r>
      <w:hyperlink r:id="rId9">
        <w:r>
          <w:rPr>
            <w:rStyle w:val="Hyperlink"/>
            <w:rFonts w:ascii="Times New Roman" w:hAnsi="Times New Roman"/>
            <w:b w:val="false"/>
            <w:i w:val="false"/>
            <w:color w:val="000000"/>
            <w:sz w:val="22"/>
          </w:rPr>
          <w:t>261—Chapter 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energy infrastructure revolving loan program administered pursuant to Iowa Code section </w:t>
      </w:r>
      <w:hyperlink r:id="rId10">
        <w:r>
          <w:rPr>
            <w:rStyle w:val="Hyperlink"/>
            <w:rFonts w:ascii="Times New Roman" w:hAnsi="Times New Roman"/>
            <w:b w:val="false"/>
            <w:i w:val="false"/>
            <w:color w:val="000000"/>
            <w:sz w:val="22"/>
          </w:rPr>
          <w:t>476.46A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an activity or set of activities, proposed in an application by a borrower, that are designed to accomplish the energy infrastructure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261—406.2</w:t>
      </w:r>
      <w:r>
        <w:rPr>
          <w:rFonts w:ascii="Times New Roman" w:hAnsi="Times New Roman"/>
          <w:b/>
          <w:i w:val="false"/>
          <w:color w:val="000000"/>
          <w:sz w:val="22"/>
        </w:rPr>
        <w:t xml:space="preserve">(15,476)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406.2(1)</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$50,000 per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lend more than 75 percent of total project costs for any project type. For purposes of determining the amount the board may lend pursuant to this subrule, total project costs include eligible costs pursuant to subrule </w:t>
      </w:r>
      <w:hyperlink r:id="rId11">
        <w:r>
          <w:rPr>
            <w:rStyle w:val="Hyperlink"/>
            <w:rFonts w:ascii="Times New Roman" w:hAnsi="Times New Roman"/>
            <w:b w:val="false"/>
            <w:i w:val="false"/>
            <w:color w:val="000000"/>
            <w:sz w:val="22"/>
          </w:rPr>
          <w:t>406.5(1)</w:t>
        </w:r>
      </w:hyperlink>
      <w:r>
        <w:rPr>
          <w:rFonts w:ascii="Times New Roman" w:hAnsi="Times New Roman"/>
          <w:b w:val="false"/>
          <w:i w:val="false"/>
          <w:color w:val="000000"/>
          <w:sz w:val="22"/>
        </w:rPr>
        <w:t xml:space="preserve"> as well as other costs determined by the board to be necessary to the development of energy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406.2(3)</w:t>
      </w:r>
      <w:r>
        <w:rPr>
          <w:rFonts w:ascii="Times New Roman" w:hAnsi="Times New Roman"/>
          <w:b w:val="false"/>
          <w:i w:val="false"/>
          <w:color w:val="000000"/>
          <w:sz w:val="22"/>
        </w:rPr>
        <w:t> </w:t>
      </w:r>
      <w:r>
        <w:rPr>
          <w:rFonts w:ascii="Times New Roman" w:hAnsi="Times New Roman"/>
          <w:b w:val="false"/>
          <w:i w:val="false"/>
          <w:color w:val="000000"/>
          <w:sz w:val="22"/>
        </w:rPr>
        <w:t>The board shall not issue a loan that exceeds the value of the collateral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406.2(4)</w:t>
      </w:r>
      <w:r>
        <w:rPr>
          <w:rFonts w:ascii="Times New Roman" w:hAnsi="Times New Roman"/>
          <w:b w:val="false"/>
          <w:i w:val="false"/>
          <w:color w:val="000000"/>
          <w:sz w:val="22"/>
        </w:rPr>
        <w:t> </w:t>
      </w:r>
      <w:r>
        <w:rPr>
          <w:rFonts w:ascii="Times New Roman" w:hAnsi="Times New Roman"/>
          <w:b w:val="false"/>
          <w:i w:val="false"/>
          <w:color w:val="000000"/>
          <w:sz w:val="22"/>
        </w:rPr>
        <w:t>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Utility revenue or reserve funds,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forms of collateral if approved by the board and only if the forms of collateral listed in paragraphs </w:t>
      </w:r>
      <w:hyperlink r:id="rId12">
        <w:r>
          <w:rPr>
            <w:rStyle w:val="Hyperlink"/>
            <w:rFonts w:ascii="Times New Roman" w:hAnsi="Times New Roman"/>
            <w:b w:val="false"/>
            <w:i w:val="false"/>
            <w:color w:val="000000"/>
            <w:sz w:val="22"/>
          </w:rPr>
          <w:t>406.2(4)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406.2(5)</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the borrower’s credit rating in determining what form of collateral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406.2(6)</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the projected payback date of the project in determining the duration of the loan, which shall not exceed 15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406.2(7)</w:t>
      </w:r>
      <w:r>
        <w:rPr>
          <w:rFonts w:ascii="Times New Roman" w:hAnsi="Times New Roman"/>
          <w:b w:val="false"/>
          <w:i w:val="false"/>
          <w:color w:val="000000"/>
          <w:sz w:val="22"/>
        </w:rPr>
        <w:t> </w:t>
      </w:r>
      <w:r>
        <w:rPr>
          <w:rFonts w:ascii="Times New Roman" w:hAnsi="Times New Roman"/>
          <w:b w:val="false"/>
          <w:i w:val="false"/>
          <w:color w:val="000000"/>
          <w:sz w:val="22"/>
        </w:rPr>
        <w:t>The interest rate shall not exceed the Wall Street Journal prime rate as of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261—406.3</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w:t>
      </w:r>
      <w:r>
        <w:rPr>
          <w:rFonts w:ascii="Times New Roman" w:hAnsi="Times New Roman"/>
          <w:b w:val="false"/>
          <w:i w:val="false"/>
          <w:color w:val="000000"/>
          <w:sz w:val="22"/>
        </w:rPr>
        <w:t> </w:t>
      </w:r>
      <w:r>
        <w:rPr>
          <w:rFonts w:ascii="Times New Roman" w:hAnsi="Times New Roman"/>
          <w:b w:val="false"/>
          <w:i/>
          <w:color w:val="000000"/>
          <w:sz w:val="22"/>
        </w:rPr>
        <w:t xml:space="preserve">Eligible borrowers.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476.46A(2)</w:t>
        </w:r>
      </w:hyperlink>
      <w:r>
        <w:rPr>
          <w:rFonts w:ascii="Times New Roman" w:hAnsi="Times New Roman"/>
          <w:b w:val="false"/>
          <w:i w:val="false"/>
          <w:color w:val="000000"/>
          <w:sz w:val="22"/>
        </w:rPr>
        <w:t xml:space="preserve"> describes the entities eligible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406.3(2)</w:t>
      </w:r>
      <w:r>
        <w:rPr>
          <w:rFonts w:ascii="Times New Roman" w:hAnsi="Times New Roman"/>
          <w:b w:val="false"/>
          <w:i w:val="false"/>
          <w:color w:val="000000"/>
          <w:sz w:val="22"/>
        </w:rPr>
        <w:t> </w:t>
      </w:r>
      <w:r>
        <w:rPr>
          <w:rFonts w:ascii="Times New Roman" w:hAnsi="Times New Roman"/>
          <w:b w:val="false"/>
          <w:i/>
          <w:color w:val="000000"/>
          <w:sz w:val="22"/>
        </w:rPr>
        <w:t xml:space="preserve">Ineligible borrowers. </w:t>
      </w:r>
      <w:r>
        <w:rPr>
          <w:rFonts w:ascii="Times New Roman" w:hAnsi="Times New Roman"/>
          <w:b w:val="false"/>
          <w:i w:val="false"/>
          <w:color w:val="000000"/>
          <w:sz w:val="22"/>
        </w:rPr>
        <w:t>Ineligible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that is not located in or operating in Iowa. A business that will be located and operating in Iowa upon completion of an eligible project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or an organization with a history of defaulted loans or compliance violations with other state programs 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except municipal utilities that are eligible borrowers pursuant to Iowa Code section </w:t>
      </w:r>
      <w:hyperlink r:id="rId14">
        <w:r>
          <w:rPr>
            <w:rStyle w:val="Hyperlink"/>
            <w:rFonts w:ascii="Times New Roman" w:hAnsi="Times New Roman"/>
            <w:b w:val="false"/>
            <w:i w:val="false"/>
            <w:color w:val="000000"/>
            <w:sz w:val="22"/>
          </w:rPr>
          <w:t>476.46A(2)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261—406.4</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406.4(1)</w:t>
      </w:r>
      <w:r>
        <w:rPr>
          <w:rFonts w:ascii="Times New Roman" w:hAnsi="Times New Roman"/>
          <w:b w:val="false"/>
          <w:i w:val="false"/>
          <w:color w:val="000000"/>
          <w:sz w:val="22"/>
        </w:rPr>
        <w:t> </w:t>
      </w:r>
      <w:r>
        <w:rPr>
          <w:rFonts w:ascii="Times New Roman" w:hAnsi="Times New Roman"/>
          <w:b w:val="false"/>
          <w:i w:val="false"/>
          <w:color w:val="000000"/>
          <w:sz w:val="22"/>
        </w:rPr>
        <w:t>Only projects meeting the following criteria are eligible for a loan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shall be located in Iowa or be for the primary use or benefit of Iowans. If any portion of the project is located outside of Iowa, the applicant bears the burden of demonstrating that the project as a whole will be for the primary use or benefit of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develop and construct energy infrastructure pursuant to Iowa Code section </w:t>
      </w:r>
      <w:hyperlink r:id="rId15">
        <w:r>
          <w:rPr>
            <w:rStyle w:val="Hyperlink"/>
            <w:rFonts w:ascii="Times New Roman" w:hAnsi="Times New Roman"/>
            <w:b w:val="false"/>
            <w:i w:val="false"/>
            <w:color w:val="000000"/>
            <w:sz w:val="22"/>
          </w:rPr>
          <w:t>476.46A(3)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borrower shall be the owner, contract purchaser, lessee, or other interest holder of the real property where the project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406.4(2)</w:t>
      </w:r>
      <w:r>
        <w:rPr>
          <w:rFonts w:ascii="Times New Roman" w:hAnsi="Times New Roman"/>
          <w:b w:val="false"/>
          <w:i w:val="false"/>
          <w:color w:val="000000"/>
          <w:sz w:val="22"/>
        </w:rPr>
        <w:t> </w:t>
      </w:r>
      <w:r>
        <w:rPr>
          <w:rFonts w:ascii="Times New Roman" w:hAnsi="Times New Roman"/>
          <w:b w:val="false"/>
          <w:i w:val="false"/>
          <w:color w:val="000000"/>
          <w:sz w:val="22"/>
        </w:rPr>
        <w:t>A project that generates energy for use only at a borrower’s personal residence is not an eligible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261—406.5</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Examples of project costs that are eligible for financial assistance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and personal property comprising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and equipment required for necessary site preparation, construction,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 for site preparation, construction, and installation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associated with maintenance, operation, or repair of a project during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Examples of project costs that are not eligible for financial assistance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Administrative costs or employee salaries of the borrower or any affiliates that are not associated with site preparation, construction, and installation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incurred prior to the committee’s recommendation to approve a loan. Costs incurred prior to the committee’s recommendation may be eligible for assistance if the borrower demonstrates the necessity to begin incurring costs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or regulatory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261—406.6</w:t>
      </w:r>
      <w:r>
        <w:rPr>
          <w:rFonts w:ascii="Times New Roman" w:hAnsi="Times New Roman"/>
          <w:b/>
          <w:i w:val="false"/>
          <w:color w:val="000000"/>
          <w:sz w:val="22"/>
        </w:rPr>
        <w:t xml:space="preserve">(15,476)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are available at </w:t>
      </w:r>
      <w:hyperlink r:id="rId16">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only during the established application periods identified by the authority on its website at </w:t>
      </w:r>
      <w:hyperlink r:id="rId17">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406.6(3)</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applications for completeness, eligibility, and technical and financial merit. The authority may engage outside reviewers to complete technical, financial, or other reviews of applications as needed. The authority may request additional information from applicants to complete 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406.6(4)</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recommendations for the loan committee. The loan committee will review the applications and staff recommendations and then make recommendations to the board. The board will approve, defer, or deny applications for loans. The authority may negotiate the amount, terms, and other conditions of each loan before an award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261—406.7</w:t>
      </w:r>
      <w:r>
        <w:rPr>
          <w:rFonts w:ascii="Times New Roman" w:hAnsi="Times New Roman"/>
          <w:b/>
          <w:i w:val="false"/>
          <w:color w:val="000000"/>
          <w:sz w:val="22"/>
        </w:rPr>
        <w:t xml:space="preserve">(15,476)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or denial. </w:t>
      </w:r>
      <w:r>
        <w:rPr>
          <w:rFonts w:ascii="Times New Roman" w:hAnsi="Times New Roman"/>
          <w:b w:val="false"/>
          <w:i w:val="false"/>
          <w:color w:val="000000"/>
          <w:sz w:val="22"/>
        </w:rPr>
        <w:t>The authority will notify applicants in writing of the board’s approval or denial of an application. If the application is approved, the notice will include any conditions and terms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406.7(2)</w:t>
      </w:r>
      <w:r>
        <w:rPr>
          <w:rFonts w:ascii="Times New Roman" w:hAnsi="Times New Roman"/>
          <w:b w:val="false"/>
          <w:i w:val="false"/>
          <w:color w:val="000000"/>
          <w:sz w:val="22"/>
        </w:rPr>
        <w:t> </w:t>
      </w:r>
      <w:r>
        <w:rPr>
          <w:rFonts w:ascii="Times New Roman" w:hAnsi="Times New Roman"/>
          <w:b w:val="false"/>
          <w:i/>
          <w:color w:val="000000"/>
          <w:sz w:val="22"/>
        </w:rPr>
        <w:t xml:space="preserve">Loan agreement. </w:t>
      </w:r>
      <w:r>
        <w:rPr>
          <w:rFonts w:ascii="Times New Roman" w:hAnsi="Times New Roman"/>
          <w:b w:val="false"/>
          <w:i w:val="false"/>
          <w:color w:val="000000"/>
          <w:sz w:val="22"/>
        </w:rPr>
        <w:t>A borrower shall enter into a loan agreement with the authority.  The borrower will execute and return the loan agreement to the authority within 90 days of the transmittal of the final loan agreement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Borrowers shall submit requests for disbursement of funds in the manner proscribed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substantive change to the scope of work for a project or request to renegotiate loan terms shall require an amendment to the loan agreement. The borrower shall request amendments in writing. No substantive amendment shall be valid until approved by the board. The authority may execute nonsubstantive or ministerial changes to the loan agreement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406.7(5)</w:t>
      </w:r>
      <w:r>
        <w:rPr>
          <w:rFonts w:ascii="Times New Roman" w:hAnsi="Times New Roman"/>
          <w:b w:val="false"/>
          <w:i w:val="false"/>
          <w:color w:val="000000"/>
          <w:sz w:val="22"/>
        </w:rPr>
        <w:t> </w:t>
      </w:r>
      <w:r>
        <w:rPr>
          <w:rFonts w:ascii="Times New Roman" w:hAnsi="Times New Roman"/>
          <w:b w:val="false"/>
          <w:i/>
          <w:color w:val="000000"/>
          <w:sz w:val="22"/>
        </w:rPr>
        <w:t xml:space="preserve">Loan forgiveness. </w:t>
      </w:r>
      <w:r>
        <w:rPr>
          <w:rFonts w:ascii="Times New Roman" w:hAnsi="Times New Roman"/>
          <w:b w:val="false"/>
          <w:i w:val="false"/>
          <w:color w:val="000000"/>
          <w:sz w:val="22"/>
        </w:rPr>
        <w:t>The board may consider requests for loan forgiveness if the borrower demonstrates forgiveness is necessary to avoid a negative material impact on the project or potential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406.7(6)</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Upon project completion, the authority will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406.7(7)</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406.7(8)</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The borrower shall complete all reports required by the loan agreement. The borrower shall submit any information reasonably requested by the authority in sufficient detail to permit the authority to prepare any reports required by the authority, the board, the general assembly or the governor’s office. The authority reserves the right to conduct site visits of all awarded projects to ensure the projects were built as proposed and to provide verification of ongoing operation. The authority will monitor all loans to ensure that loan proceeds have been spent as identified in the loan agreement and that all other sources of financing have been committed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that a borrower is in default, the authority may seek recovery of the loan plus interest or other penalties, negotiate alternative payment schedules, suspend or discontinue collection efforts, and take other action as the authority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shall attempt to collect the amount owed. Any negotiated settlement, write-off, or discontinuance of collection efforts is subject to final review by and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refers a defaulted loan to outside counsel for debt collection, then the terms of the contract between the authority and the outside counsel regarding the scope of counsel’s authorization to accept settlements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476.46A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p>
      <w:pPr>
        <w:spacing w:before="0" w:after="0"/>
        <w:ind w:left="120"/>
        <w:jc w:val="center"/>
      </w:pPr>
      <w:r>
        <w:rPr>
          <w:rFonts w:ascii="Times New Roman" w:hAnsi="Times New Roman"/>
          <w:b w:val="false"/>
          <w:i w:val="false"/>
          <w:color w:val="000000"/>
          <w:sz w:val="21"/>
        </w:rPr>
        <w:t>[Filed ARC 0311D</w:t>
      </w:r>
      <w:r>
        <w:rPr>
          <w:rFonts w:ascii="Times New Roman" w:hAnsi="Times New Roman"/>
          <w:b w:val="false"/>
          <w:i w:val="false"/>
          <w:color w:val="000000"/>
          <w:sz w:val="21"/>
        </w:rPr>
        <w:t xml:space="preserve"> (Notice ARC 9949C, IAB 1/7/26)</w:t>
      </w:r>
      <w:r>
        <w:rPr>
          <w:rFonts w:ascii="Times New Roman" w:hAnsi="Times New Roman"/>
          <w:b w:val="false"/>
          <w:i w:val="false"/>
          <w:color w:val="000000"/>
          <w:sz w:val="21"/>
        </w:rPr>
        <w:t>, IAB 5/27/26, effective 7/1/26]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476.46A.pdf" Type="http://schemas.openxmlformats.org/officeDocument/2006/relationships/hyperlink" Id="rId7"/>
    <Relationship TargetMode="External" Target="https://www.legis.iowa.gov/docs/ico/chapter/15.120.pdf" Type="http://schemas.openxmlformats.org/officeDocument/2006/relationships/hyperlink" Id="rId8"/>
    <Relationship TargetMode="External" Target="https://www.legis.iowa.gov/docs/iac/chapter/261.403.pdf" Type="http://schemas.openxmlformats.org/officeDocument/2006/relationships/hyperlink" Id="rId9"/>
    <Relationship TargetMode="External" Target="https://www.legis.iowa.gov/docs/ico/chapter/476.46A.pdf" Type="http://schemas.openxmlformats.org/officeDocument/2006/relationships/hyperlink" Id="rId10"/>
    <Relationship TargetMode="External" Target="https://www.legis.iowa.gov/docs/iac/rule/261.406.5.pdf" Type="http://schemas.openxmlformats.org/officeDocument/2006/relationships/hyperlink" Id="rId11"/>
    <Relationship TargetMode="External" Target="https://www.legis.iowa.gov/docs/iac/rule/261.406.2.pdf" Type="http://schemas.openxmlformats.org/officeDocument/2006/relationships/hyperlink" Id="rId12"/>
    <Relationship TargetMode="External" Target="https://www.legis.iowa.gov/docs/ico/chapter/476.46A.pdf" Type="http://schemas.openxmlformats.org/officeDocument/2006/relationships/hyperlink" Id="rId13"/>
    <Relationship TargetMode="External" Target="https://www.legis.iowa.gov/docs/ico/chapter/476.46A.pdf" Type="http://schemas.openxmlformats.org/officeDocument/2006/relationships/hyperlink" Id="rId14"/>
    <Relationship TargetMode="External" Target="https://www.legis.iowa.gov/docs/ico/chapter/476.46A.pdf" Type="http://schemas.openxmlformats.org/officeDocument/2006/relationships/hyperlink" Id="rId15"/>
    <Relationship TargetMode="External" Target="http://iowagrants.gov" Type="http://schemas.openxmlformats.org/officeDocument/2006/relationships/hyperlink" Id="rId16"/>
    <Relationship TargetMode="External" Target="http://www.opportunityiowa.gov" Type="http://schemas.openxmlformats.org/officeDocument/2006/relationships/hyperlink" Id="rId17"/>
    <Relationship TargetMode="External" Target="https://www.legis.iowa.gov/docs/ico/chapter/15.120.pdf" Type="http://schemas.openxmlformats.org/officeDocument/2006/relationships/hyperlink" Id="rId18"/>
    <Relationship TargetMode="External" Target="https://www.legis.iowa.gov/docs/ico/chapter/476.46A.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