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405</w:t>
      </w:r>
    </w:p>
    <w:p>
      <w:pPr>
        <w:spacing w:before="0" w:after="0"/>
        <w:ind w:left="120"/>
        <w:jc w:val="center"/>
      </w:pPr>
      <w:r>
        <w:rPr>
          <w:rFonts w:ascii="Times New Roman" w:hAnsi="Times New Roman"/>
          <w:b w:val="false"/>
          <w:i w:val="false"/>
          <w:color w:val="000000"/>
          <w:sz w:val="21"/>
        </w:rPr>
        <w:t>ALTERNATE ENERGY 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261—405.1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“Alternate energy production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476.42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governing board of the Iowa energy center established pursuant to Iowa Code section </w:t>
      </w:r>
      <w:hyperlink r:id="rId7">
        <w:r>
          <w:rPr>
            <w:rStyle w:val="Hyperlink"/>
            <w:rFonts w:ascii="Times New Roman" w:hAnsi="Times New Roman"/>
            <w:b w:val="false"/>
            <w:i w:val="false"/>
            <w:color w:val="000000"/>
            <w:sz w:val="22"/>
          </w:rPr>
          <w:t>15.120(2)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energy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“IEC”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energy center established by Iowa Code section </w:t>
      </w:r>
      <w:hyperlink r:id="rId8">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means the construction of an alternate energy production facility or a small hydro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“Small hydro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476.42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261—405.2</w:t>
      </w:r>
      <w:r>
        <w:rPr>
          <w:rFonts w:ascii="Times New Roman" w:hAnsi="Times New Roman"/>
          <w:b/>
          <w:i w:val="false"/>
          <w:color w:val="000000"/>
          <w:sz w:val="22"/>
        </w:rPr>
        <w:t xml:space="preserve">(15) </w:t>
      </w:r>
      <w:r>
        <w:rPr>
          <w:rFonts w:ascii="Times New Roman" w:hAnsi="Times New Roman"/>
          <w:b/>
          <w:i w:val="false"/>
          <w:color w:val="000000"/>
          <w:sz w:val="22"/>
        </w:rPr>
        <w:t xml:space="preserve">Loan amounts and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loan amount is $25,000 per project, and the maximum loan amount shall not exceed the amount set forth in Iowa Code section </w:t>
      </w:r>
      <w:hyperlink r:id="rId10">
        <w:r>
          <w:rPr>
            <w:rStyle w:val="Hyperlink"/>
            <w:rFonts w:ascii="Times New Roman" w:hAnsi="Times New Roman"/>
            <w:b w:val="false"/>
            <w:i w:val="false"/>
            <w:color w:val="000000"/>
            <w:sz w:val="22"/>
          </w:rPr>
          <w:t>476.46(2)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405.2(2)</w:t>
      </w:r>
      <w:r>
        <w:rPr>
          <w:rFonts w:ascii="Times New Roman" w:hAnsi="Times New Roman"/>
          <w:b w:val="false"/>
          <w:i w:val="false"/>
          <w:color w:val="000000"/>
          <w:sz w:val="22"/>
        </w:rPr>
        <w:t> </w:t>
      </w:r>
      <w:r>
        <w:rPr>
          <w:rFonts w:ascii="Times New Roman" w:hAnsi="Times New Roman"/>
          <w:b w:val="false"/>
          <w:i w:val="false"/>
          <w:color w:val="000000"/>
          <w:sz w:val="22"/>
        </w:rPr>
        <w:t>The board shall not lend more than 50 percent of eligible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405.2(3)</w:t>
      </w:r>
      <w:r>
        <w:rPr>
          <w:rFonts w:ascii="Times New Roman" w:hAnsi="Times New Roman"/>
          <w:b w:val="false"/>
          <w:i w:val="false"/>
          <w:color w:val="000000"/>
          <w:sz w:val="22"/>
        </w:rPr>
        <w:t> </w:t>
      </w:r>
      <w:r>
        <w:rPr>
          <w:rFonts w:ascii="Times New Roman" w:hAnsi="Times New Roman"/>
          <w:b w:val="false"/>
          <w:i w:val="false"/>
          <w:color w:val="000000"/>
          <w:sz w:val="22"/>
        </w:rPr>
        <w:t xml:space="preserve">Loan terms will be consistent with Iowa Code section </w:t>
      </w:r>
      <w:hyperlink r:id="rId11">
        <w:r>
          <w:rPr>
            <w:rStyle w:val="Hyperlink"/>
            <w:rFonts w:ascii="Times New Roman" w:hAnsi="Times New Roman"/>
            <w:b w:val="false"/>
            <w:i w:val="false"/>
            <w:color w:val="000000"/>
            <w:sz w:val="22"/>
          </w:rPr>
          <w:t>476.46(2)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405.2(4)</w:t>
      </w:r>
      <w:r>
        <w:rPr>
          <w:rFonts w:ascii="Times New Roman" w:hAnsi="Times New Roman"/>
          <w:b w:val="false"/>
          <w:i w:val="false"/>
          <w:color w:val="000000"/>
          <w:sz w:val="22"/>
        </w:rPr>
        <w:t> </w:t>
      </w:r>
      <w:r>
        <w:rPr>
          <w:rFonts w:ascii="Times New Roman" w:hAnsi="Times New Roman"/>
          <w:b w:val="false"/>
          <w:i w:val="false"/>
          <w:color w:val="000000"/>
          <w:sz w:val="22"/>
        </w:rPr>
        <w:t>A borrower shall be eligible for not more than $1 million in loans outstanding at any time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405.2(5)</w:t>
      </w:r>
      <w:r>
        <w:rPr>
          <w:rFonts w:ascii="Times New Roman" w:hAnsi="Times New Roman"/>
          <w:b w:val="false"/>
          <w:i w:val="false"/>
          <w:color w:val="000000"/>
          <w:sz w:val="22"/>
        </w:rPr>
        <w:t> </w:t>
      </w:r>
      <w:r>
        <w:rPr>
          <w:rFonts w:ascii="Times New Roman" w:hAnsi="Times New Roman"/>
          <w:b w:val="false"/>
          <w:i w:val="false"/>
          <w:color w:val="000000"/>
          <w:sz w:val="22"/>
        </w:rPr>
        <w:t>The board shall not issue a loan that exceeds the value of the collateral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405.2(6)</w:t>
      </w:r>
      <w:r>
        <w:rPr>
          <w:rFonts w:ascii="Times New Roman" w:hAnsi="Times New Roman"/>
          <w:b w:val="false"/>
          <w:i w:val="false"/>
          <w:color w:val="000000"/>
          <w:sz w:val="22"/>
        </w:rPr>
        <w:t> </w:t>
      </w:r>
      <w:r>
        <w:rPr>
          <w:rFonts w:ascii="Times New Roman" w:hAnsi="Times New Roman"/>
          <w:b w:val="false"/>
          <w:i w:val="false"/>
          <w:color w:val="000000"/>
          <w:sz w:val="22"/>
        </w:rPr>
        <w:t>The board will accept security for a loan. The following forms of collateral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Dedicated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forms of collateral if approved by the board and only if the forms of collateral listed in paragraphs </w:t>
      </w:r>
      <w:hyperlink r:id="rId12">
        <w:r>
          <w:rPr>
            <w:rStyle w:val="Hyperlink"/>
            <w:rFonts w:ascii="Times New Roman" w:hAnsi="Times New Roman"/>
            <w:b w:val="false"/>
            <w:i w:val="false"/>
            <w:color w:val="000000"/>
            <w:sz w:val="22"/>
          </w:rPr>
          <w:t>405.2(6)</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405.2(7)</w:t>
      </w:r>
      <w:r>
        <w:rPr>
          <w:rFonts w:ascii="Times New Roman" w:hAnsi="Times New Roman"/>
          <w:b w:val="false"/>
          <w:i w:val="false"/>
          <w:color w:val="000000"/>
          <w:sz w:val="22"/>
        </w:rPr>
        <w:t> </w:t>
      </w:r>
      <w:r>
        <w:rPr>
          <w:rFonts w:ascii="Times New Roman" w:hAnsi="Times New Roman"/>
          <w:b w:val="false"/>
          <w:i w:val="false"/>
          <w:color w:val="000000"/>
          <w:sz w:val="22"/>
        </w:rPr>
        <w:t>Term. The duration of the loan shall be for 20 years, the estimated useful life of the project that is financed by the loan, the terms of any other loans used to finance the project, or the estimated return on investment time period for the project, whichever is shortest.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261—405.3</w:t>
      </w:r>
      <w:r>
        <w:rPr>
          <w:rFonts w:ascii="Times New Roman" w:hAnsi="Times New Roman"/>
          <w:b/>
          <w:i w:val="false"/>
          <w:color w:val="000000"/>
          <w:sz w:val="22"/>
        </w:rPr>
        <w:t xml:space="preserve">(15) </w:t>
      </w:r>
      <w:r>
        <w:rPr>
          <w:rFonts w:ascii="Times New Roman" w:hAnsi="Times New Roman"/>
          <w:b/>
          <w:i w:val="false"/>
          <w:color w:val="000000"/>
          <w:sz w:val="22"/>
        </w:rPr>
        <w:t xml:space="preserve">Borrowers.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405.3(1)</w:t>
      </w:r>
      <w:r>
        <w:rPr>
          <w:rFonts w:ascii="Times New Roman" w:hAnsi="Times New Roman"/>
          <w:b w:val="false"/>
          <w:i w:val="false"/>
          <w:color w:val="000000"/>
          <w:sz w:val="22"/>
        </w:rPr>
        <w:t> </w:t>
      </w:r>
      <w:r>
        <w:rPr>
          <w:rFonts w:ascii="Times New Roman" w:hAnsi="Times New Roman"/>
          <w:b w:val="false"/>
          <w:i/>
          <w:color w:val="000000"/>
          <w:sz w:val="22"/>
        </w:rPr>
        <w:t xml:space="preserve">Eligible borrowers. </w:t>
      </w:r>
      <w:r>
        <w:rPr>
          <w:rFonts w:ascii="Times New Roman" w:hAnsi="Times New Roman"/>
          <w:b w:val="false"/>
          <w:i w:val="false"/>
          <w:color w:val="000000"/>
          <w:sz w:val="22"/>
        </w:rPr>
        <w:t>The project shall be wholly owned by an eligible borrower. Eligible borrowers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whose primary residence is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Businesses registered and domiciled in Iowa. For businesses organized as limited liability companies, each member of the limited liability company must be domiciled in Iowa and be an eligible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Water and wastewater utilities subject to Iowa Code chapter </w:t>
      </w:r>
      <w:hyperlink r:id="rId13">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 xml:space="preserve">, rural water districts subject to Iowa Code chapters </w:t>
      </w:r>
      <w:hyperlink r:id="rId14">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sanitary districts subject to Iowa Code chapter </w:t>
      </w:r>
      <w:hyperlink r:id="rId16">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405.3(2)</w:t>
      </w:r>
      <w:r>
        <w:rPr>
          <w:rFonts w:ascii="Times New Roman" w:hAnsi="Times New Roman"/>
          <w:b w:val="false"/>
          <w:i w:val="false"/>
          <w:color w:val="000000"/>
          <w:sz w:val="22"/>
        </w:rPr>
        <w:t> </w:t>
      </w:r>
      <w:r>
        <w:rPr>
          <w:rFonts w:ascii="Times New Roman" w:hAnsi="Times New Roman"/>
          <w:b w:val="false"/>
          <w:i/>
          <w:color w:val="000000"/>
          <w:sz w:val="22"/>
        </w:rPr>
        <w:t xml:space="preserve">Ineligible borrowers. </w:t>
      </w:r>
      <w:r>
        <w:rPr>
          <w:rFonts w:ascii="Times New Roman" w:hAnsi="Times New Roman"/>
          <w:b w:val="false"/>
          <w:i w:val="false"/>
          <w:color w:val="000000"/>
          <w:sz w:val="22"/>
        </w:rPr>
        <w:t>Ineligible borrowers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organization that is lending to a project and also owns the project or is a member of an organization that owns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or an organization with a history of defaulted loans or compliance violations with other state programs or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Regents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Cities, but not water or wastewater utilities subject to Iowa Code chapter </w:t>
      </w:r>
      <w:hyperlink r:id="rId17">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Gas and electric utilities subject to Iowa Code chapter </w:t>
      </w:r>
      <w:hyperlink r:id="rId18">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 xml:space="preserve"> or rural electric cooperatives subject to Iowa Code chapter </w:t>
      </w:r>
      <w:hyperlink r:id="rId1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261—405.4</w:t>
      </w:r>
      <w:r>
        <w:rPr>
          <w:rFonts w:ascii="Times New Roman" w:hAnsi="Times New Roman"/>
          <w:b/>
          <w:i w:val="false"/>
          <w:color w:val="000000"/>
          <w:sz w:val="22"/>
        </w:rPr>
        <w:t xml:space="preserve">(15)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405.4(1)</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substantive change to a project shall require an amendment to the loan agreement. The borrower shall request the amendment in writing. No substantive amendment shall be valid until approved by the board. The authority may execute nonsubstantive or corrective changes to the loan agreement without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405.4(2)</w:t>
      </w:r>
      <w:r>
        <w:rPr>
          <w:rFonts w:ascii="Times New Roman" w:hAnsi="Times New Roman"/>
          <w:b w:val="false"/>
          <w:i w:val="false"/>
          <w:color w:val="000000"/>
          <w:sz w:val="22"/>
        </w:rPr>
        <w:t> </w:t>
      </w:r>
      <w:r>
        <w:rPr>
          <w:rFonts w:ascii="Times New Roman" w:hAnsi="Times New Roman"/>
          <w:b w:val="false"/>
          <w:i/>
          <w:color w:val="000000"/>
          <w:sz w:val="22"/>
        </w:rPr>
        <w:t xml:space="preserve">Closeout. </w:t>
      </w:r>
      <w:r>
        <w:rPr>
          <w:rFonts w:ascii="Times New Roman" w:hAnsi="Times New Roman"/>
          <w:b w:val="false"/>
          <w:i w:val="false"/>
          <w:color w:val="000000"/>
          <w:sz w:val="22"/>
        </w:rPr>
        <w:t>Upon project completion, the authority will initiate project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405.4(3)</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Borrowers shall retain all financial records, all supporting documents, and all other records pertinent to the loan for five years after the loan agreement is closed or the date the authority issues a written notice of default if the default is not 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405.4(4)</w:t>
      </w:r>
      <w:r>
        <w:rPr>
          <w:rFonts w:ascii="Times New Roman" w:hAnsi="Times New Roman"/>
          <w:b w:val="false"/>
          <w:i w:val="false"/>
          <w:color w:val="000000"/>
          <w:sz w:val="22"/>
        </w:rPr>
        <w:t> </w:t>
      </w:r>
      <w:r>
        <w:rPr>
          <w:rFonts w:ascii="Times New Roman" w:hAnsi="Times New Roman"/>
          <w:b w:val="false"/>
          <w:i/>
          <w:color w:val="000000"/>
          <w:sz w:val="22"/>
        </w:rPr>
        <w:t xml:space="preserve">Reporting and compliance. </w:t>
      </w:r>
      <w:r>
        <w:rPr>
          <w:rFonts w:ascii="Times New Roman" w:hAnsi="Times New Roman"/>
          <w:b w:val="false"/>
          <w:i w:val="false"/>
          <w:color w:val="000000"/>
          <w:sz w:val="22"/>
        </w:rPr>
        <w:t>The authority reserves the right to conduct a site visit of all awarded projects to ensure the projects were built as proposed and to provide verification of ongoing operation. The authority will monitor all loans to ensure that loan proceeds have been spent as identified in the contract and that all other sources of financing have been committed to the project. Borrowers shall be required to notify the authority of any change in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405.4(5)</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construction of a project or the repayment of the loan, the authority may find that a borrower is in default under the terms of the loan agreement. The authority will take prompt, appropriate, and aggressive debt collection action to recover any funds misspent by borrowers.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authority determines that a borrower is in default, the authority may seek recovery of the loan plus interest or other penalties as authorized pursuant to Iowa Code section </w:t>
      </w:r>
      <w:hyperlink r:id="rId20">
        <w:r>
          <w:rPr>
            <w:rStyle w:val="Hyperlink"/>
            <w:rFonts w:ascii="Times New Roman" w:hAnsi="Times New Roman"/>
            <w:b w:val="false"/>
            <w:i w:val="false"/>
            <w:color w:val="000000"/>
            <w:sz w:val="22"/>
          </w:rPr>
          <w:t>476.46</w:t>
        </w:r>
      </w:hyperlink>
      <w:r>
        <w:rPr>
          <w:rFonts w:ascii="Times New Roman" w:hAnsi="Times New Roman"/>
          <w:b w:val="false"/>
          <w:i w:val="false"/>
          <w:color w:val="000000"/>
          <w:sz w:val="22"/>
        </w:rPr>
        <w:t>, negotiate alternative payment schedules, suspend or discontinue collection efforts, and take other action as the authority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shall attempt to collect the amount owed. Any negotiated settlement, write-off, or discontinuance of collection efforts is subject to final review by and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authority refers a defaulted loan to outside counsel for debt collection, then the terms of the contract between the authority and the outside counsel regarding the scope of counsel’s authorization to accept settlements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261—405.5</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Applicability after June 30, 2021. </w:t>
      </w:r>
      <w:r>
        <w:rPr>
          <w:rFonts w:ascii="Times New Roman" w:hAnsi="Times New Roman"/>
          <w:b w:val="false"/>
          <w:i w:val="false"/>
          <w:color w:val="000000"/>
          <w:sz w:val="22"/>
        </w:rPr>
        <w:t>To the extent allowed by other provisions of law, the rules adopted in this chapter shall continue to apply to agreements entered into on or before June 30, 2021.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476.46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4263C</w:t>
      </w:r>
      <w:r>
        <w:rPr>
          <w:rFonts w:ascii="Times New Roman" w:hAnsi="Times New Roman"/>
          <w:b w:val="false"/>
          <w:i w:val="false"/>
          <w:color w:val="000000"/>
          <w:sz w:val="21"/>
        </w:rPr>
        <w:t xml:space="preserve"> (Notice ARC 4148C,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Emergency After Notice ARC 5994C</w:t>
      </w:r>
      <w:r>
        <w:rPr>
          <w:rFonts w:ascii="Times New Roman" w:hAnsi="Times New Roman"/>
          <w:b w:val="false"/>
          <w:i w:val="false"/>
          <w:color w:val="000000"/>
          <w:sz w:val="21"/>
        </w:rPr>
        <w:t xml:space="preserve"> (Notice ARC 5878C, IAB 8/25/21)</w:t>
      </w:r>
      <w:r>
        <w:rPr>
          <w:rFonts w:ascii="Times New Roman" w:hAnsi="Times New Roman"/>
          <w:b w:val="false"/>
          <w:i w:val="false"/>
          <w:color w:val="000000"/>
          <w:sz w:val="21"/>
        </w:rPr>
        <w:t>, IAB 10/20/21, effective 9/30/21]</w:t>
      </w:r>
    </w:p>
    <w:p>
      <w:pPr>
        <w:spacing w:before="0" w:after="0"/>
        <w:ind w:left="120"/>
        <w:jc w:val="center"/>
      </w:pPr>
      <w:r>
        <w:rPr>
          <w:rFonts w:ascii="Times New Roman" w:hAnsi="Times New Roman"/>
          <w:b w:val="false"/>
          <w:i w:val="false"/>
          <w:color w:val="000000"/>
          <w:sz w:val="21"/>
        </w:rPr>
        <w:t>[Filed ARC 0310D</w:t>
      </w:r>
      <w:r>
        <w:rPr>
          <w:rFonts w:ascii="Times New Roman" w:hAnsi="Times New Roman"/>
          <w:b w:val="false"/>
          <w:i w:val="false"/>
          <w:color w:val="000000"/>
          <w:sz w:val="21"/>
        </w:rPr>
        <w:t xml:space="preserve"> (Notice ARC 9950C, IAB 1/7/26)</w:t>
      </w:r>
      <w:r>
        <w:rPr>
          <w:rFonts w:ascii="Times New Roman" w:hAnsi="Times New Roman"/>
          <w:b w:val="false"/>
          <w:i w:val="false"/>
          <w:color w:val="000000"/>
          <w:sz w:val="21"/>
        </w:rPr>
        <w:t>, IAB 5/27/26, effective 7/1/26]</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42.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120.pdf" Type="http://schemas.openxmlformats.org/officeDocument/2006/relationships/hyperlink" Id="rId7"/>
    <Relationship TargetMode="External" Target="https://www.legis.iowa.gov/docs/ico/chapter/15.120.pdf" Type="http://schemas.openxmlformats.org/officeDocument/2006/relationships/hyperlink" Id="rId8"/>
    <Relationship TargetMode="External" Target="https://www.legis.iowa.gov/docs/ico/chapter/476.42.pdf" Type="http://schemas.openxmlformats.org/officeDocument/2006/relationships/hyperlink" Id="rId9"/>
    <Relationship TargetMode="External" Target="https://www.legis.iowa.gov/docs/ico/chapter/476.46.pdf" Type="http://schemas.openxmlformats.org/officeDocument/2006/relationships/hyperlink" Id="rId10"/>
    <Relationship TargetMode="External" Target="https://www.legis.iowa.gov/docs/ico/chapter/476.46.pdf" Type="http://schemas.openxmlformats.org/officeDocument/2006/relationships/hyperlink" Id="rId11"/>
    <Relationship TargetMode="External" Target="https://www.legis.iowa.gov/docs/iac/rule/261.405.2.pdf" Type="http://schemas.openxmlformats.org/officeDocument/2006/relationships/hyperlink" Id="rId12"/>
    <Relationship TargetMode="External" Target="https://www.legis.iowa.gov/docs/ico/chapter/388.pdf" Type="http://schemas.openxmlformats.org/officeDocument/2006/relationships/hyperlink" Id="rId13"/>
    <Relationship TargetMode="External" Target="https://www.legis.iowa.gov/docs/ico/chapter/357A.pdf" Type="http://schemas.openxmlformats.org/officeDocument/2006/relationships/hyperlink" Id="rId14"/>
    <Relationship TargetMode="External" Target="https://www.legis.iowa.gov/docs/ico/chapter/504.pdf" Type="http://schemas.openxmlformats.org/officeDocument/2006/relationships/hyperlink" Id="rId15"/>
    <Relationship TargetMode="External" Target="https://www.legis.iowa.gov/docs/ico/chapter/358.pdf" Type="http://schemas.openxmlformats.org/officeDocument/2006/relationships/hyperlink" Id="rId16"/>
    <Relationship TargetMode="External" Target="https://www.legis.iowa.gov/docs/ico/chapter/388.pdf" Type="http://schemas.openxmlformats.org/officeDocument/2006/relationships/hyperlink" Id="rId17"/>
    <Relationship TargetMode="External" Target="https://www.legis.iowa.gov/docs/ico/chapter/388.pdf" Type="http://schemas.openxmlformats.org/officeDocument/2006/relationships/hyperlink" Id="rId18"/>
    <Relationship TargetMode="External" Target="https://www.legis.iowa.gov/docs/ico/chapter/476.pdf" Type="http://schemas.openxmlformats.org/officeDocument/2006/relationships/hyperlink" Id="rId19"/>
    <Relationship TargetMode="External" Target="https://www.legis.iowa.gov/docs/ico/chapter/476.46.pdf" Type="http://schemas.openxmlformats.org/officeDocument/2006/relationships/hyperlink" Id="rId20"/>
    <Relationship TargetMode="External" Target="https://www.legis.iowa.gov/docs/ico/chapter/15.120.pdf" Type="http://schemas.openxmlformats.org/officeDocument/2006/relationships/hyperlink" Id="rId21"/>
    <Relationship TargetMode="External" Target="https://www.legis.iowa.gov/docs/ico/chapter/476.46.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