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404</w:t>
      </w:r>
    </w:p>
    <w:p>
      <w:pPr>
        <w:spacing w:before="0" w:after="0"/>
        <w:ind w:left="120"/>
        <w:jc w:val="center"/>
      </w:pPr>
      <w:r>
        <w:rPr>
          <w:rFonts w:ascii="Times New Roman" w:hAnsi="Times New Roman"/>
          <w:b w:val="false"/>
          <w:i w:val="false"/>
          <w:color w:val="000000"/>
          <w:sz w:val="21"/>
        </w:rPr>
        <w:t>IOWA ENERGY CENTER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261—404.1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“Activity” </w:t>
      </w:r>
      <w:r>
        <w:rPr>
          <w:rFonts w:ascii="Times New Roman" w:hAnsi="Times New Roman"/>
          <w:b w:val="false"/>
          <w:i w:val="false"/>
          <w:color w:val="000000"/>
          <w:sz w:val="22"/>
        </w:rPr>
        <w:t>means one or more specific activities, projects or programs associated with Iowa energy center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“Co-investigator” </w:t>
      </w:r>
      <w:r>
        <w:rPr>
          <w:rFonts w:ascii="Times New Roman" w:hAnsi="Times New Roman"/>
          <w:b w:val="false"/>
          <w:i w:val="false"/>
          <w:color w:val="000000"/>
          <w:sz w:val="22"/>
        </w:rPr>
        <w:t>means a person who shares the responsibility of conducting grant activities with the principal investigator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“Funding announcement” </w:t>
      </w:r>
      <w:r>
        <w:rPr>
          <w:rFonts w:ascii="Times New Roman" w:hAnsi="Times New Roman"/>
          <w:b w:val="false"/>
          <w:i w:val="false"/>
          <w:color w:val="000000"/>
          <w:sz w:val="22"/>
        </w:rPr>
        <w:t>means a publicly available document that contains the official information for a grant, including the application deadline, goals of the activity, eligibility, reporting, availability of funds and instructions on applying for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energy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“IEC” </w:t>
      </w:r>
      <w:r>
        <w:rPr>
          <w:rFonts w:ascii="Times New Roman" w:hAnsi="Times New Roman"/>
          <w:b w:val="false"/>
          <w:i w:val="false"/>
          <w:color w:val="000000"/>
          <w:sz w:val="22"/>
        </w:rPr>
        <w:t xml:space="preserve">means the Iowa energy center established by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investigator” </w:t>
      </w:r>
      <w:r>
        <w:rPr>
          <w:rFonts w:ascii="Times New Roman" w:hAnsi="Times New Roman"/>
          <w:b w:val="false"/>
          <w:i w:val="false"/>
          <w:color w:val="000000"/>
          <w:sz w:val="22"/>
        </w:rPr>
        <w:t>means a person with the primary responsibility for conducting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organization that was awarded an Iowa energy center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 organization contracting with and receiving funds from a recipient to carry out IEC grant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261—404.2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are identified in Iowa Code section </w:t>
      </w:r>
      <w:hyperlink r:id="rId8">
        <w:r>
          <w:rPr>
            <w:rStyle w:val="Hyperlink"/>
            <w:rFonts w:ascii="Times New Roman" w:hAnsi="Times New Roman"/>
            <w:b w:val="false"/>
            <w:i w:val="false"/>
            <w:color w:val="000000"/>
            <w:sz w:val="22"/>
          </w:rPr>
          <w:t>15.120(3)</w:t>
        </w:r>
      </w:hyperlink>
      <w:r>
        <w:rPr>
          <w:rFonts w:ascii="Times New Roman" w:hAnsi="Times New Roman"/>
          <w:b w:val="false"/>
          <w:i/>
          <w:color w:val="000000"/>
          <w:sz w:val="22"/>
        </w:rPr>
        <w:t xml:space="preserv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404.2(2)</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submit an application that includes one or more subrecipients. The board may limit the amount of an award that a subrecipient can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404.2(3)</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individually or jointly with another eligible applicant or other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404.2(4)</w:t>
      </w:r>
      <w:r>
        <w:rPr>
          <w:rFonts w:ascii="Times New Roman" w:hAnsi="Times New Roman"/>
          <w:b w:val="false"/>
          <w:i w:val="false"/>
          <w:color w:val="000000"/>
          <w:sz w:val="22"/>
        </w:rPr>
        <w:t> </w:t>
      </w:r>
      <w:r>
        <w:rPr>
          <w:rFonts w:ascii="Times New Roman" w:hAnsi="Times New Roman"/>
          <w:b w:val="false"/>
          <w:i w:val="false"/>
          <w:color w:val="000000"/>
          <w:sz w:val="22"/>
        </w:rPr>
        <w:t>A principal investigator will be allowed to submit one application per funding announcement. An applicant who has submitted an application as the principal investigator for a funding announcement may also be named as a co-investigator on one additional application submitted for the same funding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404.2(5)</w:t>
      </w:r>
      <w:r>
        <w:rPr>
          <w:rFonts w:ascii="Times New Roman" w:hAnsi="Times New Roman"/>
          <w:b w:val="false"/>
          <w:i w:val="false"/>
          <w:color w:val="000000"/>
          <w:sz w:val="22"/>
        </w:rPr>
        <w:t> </w:t>
      </w:r>
      <w:r>
        <w:rPr>
          <w:rFonts w:ascii="Times New Roman" w:hAnsi="Times New Roman"/>
          <w:b w:val="false"/>
          <w:i w:val="false"/>
          <w:color w:val="000000"/>
          <w:sz w:val="22"/>
        </w:rPr>
        <w:t>Requirements for IEC grant awards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shall demonstrate a benefit for ratepayers.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shall demonstrate that they are eligible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shall demonstrate the capacity for grants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 have previously received Iowa energy center awards shall have demonstrated acceptable past performance, including the timely expenditure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shall demonstrate the feasibility of completing the proposed activities with the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Applicants shall identify and describe any other sources of funding for the proposed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404.2(6)</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projects are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Relocation of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Expansion of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for existing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Improvements to existing buildings, including energy efficiency or energy generation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Pipeline, transmission line, and distribution line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First generation ethanol.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Cellulosic ethanol.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261—404.3</w:t>
      </w:r>
      <w:r>
        <w:rPr>
          <w:rFonts w:ascii="Times New Roman" w:hAnsi="Times New Roman"/>
          <w:b/>
          <w:i w:val="false"/>
          <w:color w:val="000000"/>
          <w:sz w:val="22"/>
        </w:rPr>
        <w:t xml:space="preserve">(15) </w:t>
      </w:r>
      <w:r>
        <w:rPr>
          <w:rFonts w:ascii="Times New Roman" w:hAnsi="Times New Roman"/>
          <w:b/>
          <w:i w:val="false"/>
          <w:color w:val="000000"/>
          <w:sz w:val="22"/>
        </w:rPr>
        <w:t xml:space="preserve">Funding and award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404.3(1)</w:t>
      </w:r>
      <w:r>
        <w:rPr>
          <w:rFonts w:ascii="Times New Roman" w:hAnsi="Times New Roman"/>
          <w:b w:val="false"/>
          <w:i w:val="false"/>
          <w:color w:val="000000"/>
          <w:sz w:val="22"/>
        </w:rPr>
        <w:t> </w:t>
      </w:r>
      <w:r>
        <w:rPr>
          <w:rFonts w:ascii="Times New Roman" w:hAnsi="Times New Roman"/>
          <w:b w:val="false"/>
          <w:i w:val="false"/>
          <w:color w:val="000000"/>
          <w:sz w:val="22"/>
        </w:rPr>
        <w:t>For each fiscal year that funds are available, the board will determine the amount of funds available to be awarded as grants in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404.3(2)</w:t>
      </w:r>
      <w:r>
        <w:rPr>
          <w:rFonts w:ascii="Times New Roman" w:hAnsi="Times New Roman"/>
          <w:b w:val="false"/>
          <w:i w:val="false"/>
          <w:color w:val="000000"/>
          <w:sz w:val="22"/>
        </w:rPr>
        <w:t> </w:t>
      </w:r>
      <w:r>
        <w:rPr>
          <w:rFonts w:ascii="Times New Roman" w:hAnsi="Times New Roman"/>
          <w:b w:val="false"/>
          <w:i w:val="false"/>
          <w:color w:val="000000"/>
          <w:sz w:val="22"/>
        </w:rPr>
        <w:t>If any funds are allocated to a specific grant activity but are not awarded after a funding cycle, the board may reallocate those funds to a different grant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404.3(3)</w:t>
      </w:r>
      <w:r>
        <w:rPr>
          <w:rFonts w:ascii="Times New Roman" w:hAnsi="Times New Roman"/>
          <w:b w:val="false"/>
          <w:i w:val="false"/>
          <w:color w:val="000000"/>
          <w:sz w:val="22"/>
        </w:rPr>
        <w:t> </w:t>
      </w:r>
      <w:r>
        <w:rPr>
          <w:rFonts w:ascii="Times New Roman" w:hAnsi="Times New Roman"/>
          <w:b w:val="false"/>
          <w:i w:val="false"/>
          <w:color w:val="000000"/>
          <w:sz w:val="22"/>
        </w:rPr>
        <w:t>The board may reallocate any recaptured funds to a different grant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404.3(4)</w:t>
      </w:r>
      <w:r>
        <w:rPr>
          <w:rFonts w:ascii="Times New Roman" w:hAnsi="Times New Roman"/>
          <w:b w:val="false"/>
          <w:i w:val="false"/>
          <w:color w:val="000000"/>
          <w:sz w:val="22"/>
        </w:rPr>
        <w:t> </w:t>
      </w:r>
      <w:r>
        <w:rPr>
          <w:rFonts w:ascii="Times New Roman" w:hAnsi="Times New Roman"/>
          <w:b w:val="false"/>
          <w:i w:val="false"/>
          <w:color w:val="000000"/>
          <w:sz w:val="22"/>
        </w:rPr>
        <w:t>The maximum grant award is $1 million per application. The minimum grant award is $10,000 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404.3(5)</w:t>
      </w:r>
      <w:r>
        <w:rPr>
          <w:rFonts w:ascii="Times New Roman" w:hAnsi="Times New Roman"/>
          <w:b w:val="false"/>
          <w:i w:val="false"/>
          <w:color w:val="000000"/>
          <w:sz w:val="22"/>
        </w:rPr>
        <w:t> </w:t>
      </w:r>
      <w:r>
        <w:rPr>
          <w:rFonts w:ascii="Times New Roman" w:hAnsi="Times New Roman"/>
          <w:b w:val="false"/>
          <w:i w:val="false"/>
          <w:color w:val="000000"/>
          <w:sz w:val="22"/>
        </w:rPr>
        <w:t>The initial duration of a grant agreement will be no longer than three years. However, a recipient may apply for a no-cost extension of an agreement. If the approval of a no-cost extension would cause the duration of the grant agreement to exceed five years, the no-cost extension will not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261—404.4</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budget.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404.4(1)</w:t>
      </w:r>
      <w:r>
        <w:rPr>
          <w:rFonts w:ascii="Times New Roman" w:hAnsi="Times New Roman"/>
          <w:b w:val="false"/>
          <w:i w:val="false"/>
          <w:color w:val="000000"/>
          <w:sz w:val="22"/>
        </w:rPr>
        <w:t> </w:t>
      </w:r>
      <w:r>
        <w:rPr>
          <w:rFonts w:ascii="Times New Roman" w:hAnsi="Times New Roman"/>
          <w:b w:val="false"/>
          <w:i w:val="false"/>
          <w:color w:val="000000"/>
          <w:sz w:val="22"/>
        </w:rPr>
        <w:t>Only expenditures directly related to the implementation of the funded grant activity will be reimbursed. Vehicle and equipment purchases are eligible only when the purchase is an integral part of the funded grant activity and must be approved by the board at the time the award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404.4(2)</w:t>
      </w:r>
      <w:r>
        <w:rPr>
          <w:rFonts w:ascii="Times New Roman" w:hAnsi="Times New Roman"/>
          <w:b w:val="false"/>
          <w:i w:val="false"/>
          <w:color w:val="000000"/>
          <w:sz w:val="22"/>
        </w:rPr>
        <w:t> </w:t>
      </w:r>
      <w:r>
        <w:rPr>
          <w:rFonts w:ascii="Times New Roman" w:hAnsi="Times New Roman"/>
          <w:b w:val="false"/>
          <w:i w:val="false"/>
          <w:color w:val="000000"/>
          <w:sz w:val="22"/>
        </w:rPr>
        <w:t>Ineligible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or rental of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Furniture and fixtures.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Intangible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International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Phone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404.4(3)</w:t>
      </w:r>
      <w:r>
        <w:rPr>
          <w:rFonts w:ascii="Times New Roman" w:hAnsi="Times New Roman"/>
          <w:b w:val="false"/>
          <w:i w:val="false"/>
          <w:color w:val="000000"/>
          <w:sz w:val="22"/>
        </w:rPr>
        <w:t> </w:t>
      </w:r>
      <w:r>
        <w:rPr>
          <w:rFonts w:ascii="Times New Roman" w:hAnsi="Times New Roman"/>
          <w:b w:val="false"/>
          <w:i w:val="false"/>
          <w:color w:val="000000"/>
          <w:sz w:val="22"/>
        </w:rPr>
        <w:t>Other budget requirements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Indirect costs shall not exceed more than 20 percent of a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IEC grant funds shall not be used as cost share to a federal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 and equipment purchases or other expenses relating to vehicles or equipment are not eligible if the purchase or expense supports the proposed grant activity but is not an integral part of the proposed grant activity. If a vehicle or equipment purchase is an integral part of a grant activity but a recipient fails to obtain board approval prior to the purchase, then the purchase is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261—404.5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404.5(1)</w:t>
      </w:r>
      <w:r>
        <w:rPr>
          <w:rFonts w:ascii="Times New Roman" w:hAnsi="Times New Roman"/>
          <w:b w:val="false"/>
          <w:i w:val="false"/>
          <w:color w:val="000000"/>
          <w:sz w:val="22"/>
        </w:rPr>
        <w:t> </w:t>
      </w:r>
      <w:r>
        <w:rPr>
          <w:rFonts w:ascii="Times New Roman" w:hAnsi="Times New Roman"/>
          <w:b w:val="false"/>
          <w:i w:val="false"/>
          <w:color w:val="000000"/>
          <w:sz w:val="22"/>
        </w:rPr>
        <w:t>The board will issue funding announcements for grant applications at least once per fiscal year, provided funds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will be available at </w:t>
      </w:r>
      <w:hyperlink r:id="rId9">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 xml:space="preserve"> or another website as identified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only be accepted during the established application period, as identified at </w:t>
      </w:r>
      <w:hyperlink r:id="rId10">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404.5(4)</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criteria may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project demonstrates a need for further research, development, training or pilot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project provides a benefit to ratepayers.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has a well-developed budget that is relevant to the project and that provides documentation of planned project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describes a plan for the dissemination of project results or to sustain the project after the grant period 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404.5(5)</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applicants to submit a preapplication to determine eligibility and competitiveness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404.5(6)</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applications for completeness, eligibility, and technical and financial merit. The authority may engage an outside technical review panel to complete technical review of applications. The authority will prepare recommendations for the grant committee. The grant committee will review staff recommendations, score applications, and make recommendations to the board. Upon review of the recommendations of the grant committee, the board may approve grant awards.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261—404.6</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and agreement execution. </w:t>
      </w:r>
      <w:r>
        <w:rPr>
          <w:rFonts w:ascii="Times New Roman" w:hAnsi="Times New Roman"/>
          <w:b w:val="false"/>
          <w:i w:val="false"/>
          <w:color w:val="000000"/>
          <w:sz w:val="22"/>
        </w:rPr>
        <w:t>The authority will notify successful applicants in writing of an approved request for funding. After notifying the recipient of an award, the authority will prepare an agreement that reflects the terms of the award. The recipient must execute and return the agreement to the authority within 60 days of the transmittal of the final agreement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404.6(2)</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Recipients shall submit requests for grant funds in the manner prescribed by the authority. Disbursements shall be made on a reimbursement basis. No advance disbursements shall be allowed. Disbursements may be withheld if applicable performance reports have not been received and approved. Individual requests for funds shall be made in an amount equal to or greater than $1,000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404.6(3)</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Recipients shall retain all financial records, supporting documents and all other records pertinent to the grant for five years after agreement closeout.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404.6(4)</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and reviews. </w:t>
      </w:r>
      <w:r>
        <w:rPr>
          <w:rFonts w:ascii="Times New Roman" w:hAnsi="Times New Roman"/>
          <w:b w:val="false"/>
          <w:i w:val="false"/>
          <w:color w:val="000000"/>
          <w:sz w:val="22"/>
        </w:rPr>
        <w:t xml:space="preserve">Recipients shall submit performance reports to the authority as described in the agreement executed pursuant to subrule </w:t>
      </w:r>
      <w:hyperlink r:id="rId11">
        <w:r>
          <w:rPr>
            <w:rStyle w:val="Hyperlink"/>
            <w:rFonts w:ascii="Times New Roman" w:hAnsi="Times New Roman"/>
            <w:b w:val="false"/>
            <w:i w:val="false"/>
            <w:color w:val="000000"/>
            <w:sz w:val="22"/>
          </w:rPr>
          <w:t>404.6(1)</w:t>
        </w:r>
      </w:hyperlink>
      <w:r>
        <w:rPr>
          <w:rFonts w:ascii="Times New Roman" w:hAnsi="Times New Roman"/>
          <w:b w:val="false"/>
          <w:i w:val="false"/>
          <w:color w:val="000000"/>
          <w:sz w:val="22"/>
        </w:rPr>
        <w:t>. The authority may perform project reviews and site inspections as necessary to ensure program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404.6(5)</w:t>
      </w:r>
      <w:r>
        <w:rPr>
          <w:rFonts w:ascii="Times New Roman" w:hAnsi="Times New Roman"/>
          <w:b w:val="false"/>
          <w:i w:val="false"/>
          <w:color w:val="000000"/>
          <w:sz w:val="22"/>
        </w:rPr>
        <w:t> </w:t>
      </w:r>
      <w:r>
        <w:rPr>
          <w:rFonts w:ascii="Times New Roman" w:hAnsi="Times New Roman"/>
          <w:b w:val="false"/>
          <w:i/>
          <w:color w:val="000000"/>
          <w:sz w:val="22"/>
        </w:rPr>
        <w:t xml:space="preserve">Agreement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substantive change to a funded IEC project, including time extensions, budget revisions, and alterations to proposed activities, will be considered an agreement amendment. The recipient shall request an amendment in writing. No amendment shall be valid until approved by the board, except as provided in paragraph </w:t>
      </w:r>
      <w:hyperlink r:id="rId12">
        <w:r>
          <w:rPr>
            <w:rStyle w:val="Hyperlink"/>
            <w:rFonts w:ascii="Times New Roman" w:hAnsi="Times New Roman"/>
            <w:b w:val="false"/>
            <w:i w:val="false"/>
            <w:color w:val="000000"/>
            <w:sz w:val="22"/>
          </w:rPr>
          <w:t>404.6(7)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confirmed in writing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approvals.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may approve one no-cost extension provided that the extension complies with subrule </w:t>
      </w:r>
      <w:hyperlink r:id="rId13">
        <w:r>
          <w:rPr>
            <w:rStyle w:val="Hyperlink"/>
            <w:rFonts w:ascii="Times New Roman" w:hAnsi="Times New Roman"/>
            <w:b w:val="false"/>
            <w:i w:val="false"/>
            <w:color w:val="000000"/>
            <w:sz w:val="22"/>
          </w:rPr>
          <w:t>404.3(5)</w:t>
        </w:r>
      </w:hyperlink>
      <w:r>
        <w:rPr>
          <w:rFonts w:ascii="Times New Roman" w:hAnsi="Times New Roman"/>
          <w:b w:val="false"/>
          <w:i w:val="false"/>
          <w:color w:val="000000"/>
          <w:sz w:val="22"/>
        </w:rPr>
        <w:t>. Additional no-cost extensions shall be presented to the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Budget modifications. Any substantial modification of a project budget shall require board approval. Staff may approve budget modifications that are not substantial. For purposes of this subparagraph, “substantial modification” means a budget modification of either $10,000 or 10 percent of the total grant award,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404.6(6)</w:t>
      </w:r>
      <w:r>
        <w:rPr>
          <w:rFonts w:ascii="Times New Roman" w:hAnsi="Times New Roman"/>
          <w:b w:val="false"/>
          <w:i w:val="false"/>
          <w:color w:val="000000"/>
          <w:sz w:val="22"/>
        </w:rPr>
        <w:t> </w:t>
      </w:r>
      <w:r>
        <w:rPr>
          <w:rFonts w:ascii="Times New Roman" w:hAnsi="Times New Roman"/>
          <w:b w:val="false"/>
          <w:i/>
          <w:color w:val="000000"/>
          <w:sz w:val="22"/>
        </w:rPr>
        <w:t xml:space="preserve">Agreement closeout. </w:t>
      </w:r>
      <w:r>
        <w:rPr>
          <w:rFonts w:ascii="Times New Roman" w:hAnsi="Times New Roman"/>
          <w:b w:val="false"/>
          <w:i w:val="false"/>
          <w:color w:val="000000"/>
          <w:sz w:val="22"/>
        </w:rPr>
        <w:t>Upon agreement expiration or project completion, the authority will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and local laws and rules. </w:t>
      </w:r>
      <w:r>
        <w:rPr>
          <w:rFonts w:ascii="Times New Roman" w:hAnsi="Times New Roman"/>
          <w:b w:val="false"/>
          <w:i w:val="false"/>
          <w:color w:val="000000"/>
          <w:sz w:val="22"/>
        </w:rPr>
        <w:t>Recipients shall comply with these rules, with any applicable provisions of the Iowa Code, and with any applicable local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404.6(8)</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At any time during a project, the IEC may, for cause, find that a recipient is not in compliance with the requirements of this program. At the board’s discretion, remedies may include penalties up to and including the return of grant funds to the IEC. Findings of noncompliance may include the use of Iowa energy center funds for activities not described in the application; failure to complete approved activities in a timely manner; failure to comply with any applicable state or federal rules, regulations, or laws; or the lack of a continuing capacity of the recipient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4262C</w:t>
      </w:r>
      <w:r>
        <w:rPr>
          <w:rFonts w:ascii="Times New Roman" w:hAnsi="Times New Roman"/>
          <w:b w:val="false"/>
          <w:i w:val="false"/>
          <w:color w:val="000000"/>
          <w:sz w:val="21"/>
        </w:rPr>
        <w:t xml:space="preserve"> (Notice ARC 4149C,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8072C</w:t>
      </w:r>
      <w:r>
        <w:rPr>
          <w:rFonts w:ascii="Times New Roman" w:hAnsi="Times New Roman"/>
          <w:b w:val="false"/>
          <w:i w:val="false"/>
          <w:color w:val="000000"/>
          <w:sz w:val="21"/>
        </w:rPr>
        <w:t xml:space="preserve"> (Notice ARC 7746C, IAB 4/3/24)</w:t>
      </w:r>
      <w:r>
        <w:rPr>
          <w:rFonts w:ascii="Times New Roman" w:hAnsi="Times New Roman"/>
          <w:b w:val="false"/>
          <w:i w:val="false"/>
          <w:color w:val="000000"/>
          <w:sz w:val="21"/>
        </w:rPr>
        <w:t>, IAB 6/26/24, effective 7/31/24]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co/chapter/15.120.pdf" Type="http://schemas.openxmlformats.org/officeDocument/2006/relationships/hyperlink" Id="rId8"/>
    <Relationship TargetMode="External" Target="http://iowagrants.gov" Type="http://schemas.openxmlformats.org/officeDocument/2006/relationships/hyperlink" Id="rId9"/>
    <Relationship TargetMode="External" Target="http://www.iowaeda.com" Type="http://schemas.openxmlformats.org/officeDocument/2006/relationships/hyperlink" Id="rId10"/>
    <Relationship TargetMode="External" Target="https://www.legis.iowa.gov/docs/iac/rule/261.404.6.pdf" Type="http://schemas.openxmlformats.org/officeDocument/2006/relationships/hyperlink" Id="rId11"/>
    <Relationship TargetMode="External" Target="https://www.legis.iowa.gov/docs/iac/rule/261.404.6.pdf" Type="http://schemas.openxmlformats.org/officeDocument/2006/relationships/hyperlink" Id="rId12"/>
    <Relationship TargetMode="External" Target="https://www.legis.iowa.gov/docs/iac/rule/261.404.3.pdf" Type="http://schemas.openxmlformats.org/officeDocument/2006/relationships/hyperlink" Id="rId13"/>
    <Relationship TargetMode="External" Target="https://www.legis.iowa.gov/docs/ico/chapter/15.120.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