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4 on Windows 11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403</w:t>
      </w:r>
    </w:p>
    <w:p>
      <w:pPr>
        <w:spacing w:before="0" w:after="0"/>
        <w:ind w:left="120"/>
        <w:jc w:val="center"/>
      </w:pPr>
      <w:r>
        <w:rPr>
          <w:rFonts w:ascii="Times New Roman" w:hAnsi="Times New Roman"/>
          <w:b w:val="false"/>
          <w:i w:val="false"/>
          <w:color w:val="000000"/>
          <w:sz w:val="21"/>
        </w:rPr>
        <w:t>IOWA ENERGY CENTER</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7/1/31</w:t>
      </w:r>
    </w:p>
    <w:p>
      <w:pPr>
        <w:spacing w:before="0" w:after="0"/>
        <w:ind w:left="120"/>
        <w:jc w:val="both"/>
      </w:pPr>
      <w:r>
        <w:rPr>
          <w:rFonts w:ascii="Times New Roman" w:hAnsi="Times New Roman"/>
          <w:b/>
          <w:i w:val="false"/>
          <w:color w:val="000000"/>
          <w:sz w:val="22"/>
        </w:rPr>
        <w:t>261—403.1</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economic development authority created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governing board of the Iowa energy center established pursuant to Iowa Code section </w:t>
      </w:r>
      <w:hyperlink r:id="rId6">
        <w:r>
          <w:rPr>
            <w:rStyle w:val="Hyperlink"/>
            <w:rFonts w:ascii="Times New Roman" w:hAnsi="Times New Roman"/>
            <w:b w:val="false"/>
            <w:i w:val="false"/>
            <w:color w:val="000000"/>
            <w:sz w:val="22"/>
          </w:rPr>
          <w:t>15.120(2)</w:t>
        </w:r>
      </w:hyperlink>
      <w:r>
        <w:rPr>
          <w:rFonts w:ascii="Times New Roman" w:hAnsi="Times New Roman"/>
          <w:b w:val="false"/>
          <w:i w:val="false"/>
          <w:color w:val="000000"/>
          <w:sz w:val="22"/>
        </w:rPr>
        <w:t xml:space="preserve"> and includes the members appointed to the board by the governor.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“Committee”</w:t>
      </w:r>
      <w:r>
        <w:rPr>
          <w:rFonts w:ascii="Times New Roman" w:hAnsi="Times New Roman"/>
          <w:b w:val="false"/>
          <w:i w:val="false"/>
          <w:color w:val="000000"/>
          <w:sz w:val="22"/>
        </w:rPr>
        <w:t> </w:t>
      </w:r>
      <w:r>
        <w:rPr>
          <w:rFonts w:ascii="Times New Roman" w:hAnsi="Times New Roman"/>
          <w:b w:val="false"/>
          <w:i w:val="false"/>
          <w:color w:val="000000"/>
          <w:sz w:val="22"/>
        </w:rPr>
        <w:t>means a committee established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 energy center”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“IEC”</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Iowa energy center established pursuant to Iowa Code section </w:t>
      </w:r>
      <w:hyperlink r:id="rId7">
        <w:r>
          <w:rPr>
            <w:rStyle w:val="Hyperlink"/>
            <w:rFonts w:ascii="Times New Roman" w:hAnsi="Times New Roman"/>
            <w:b w:val="false"/>
            <w:i w:val="false"/>
            <w:color w:val="000000"/>
            <w:sz w:val="22"/>
          </w:rPr>
          <w:t>15.120</w:t>
        </w:r>
      </w:hyperlink>
      <w:r>
        <w:rPr>
          <w:rFonts w:ascii="Times New Roman" w:hAnsi="Times New Roman"/>
          <w:b w:val="false"/>
          <w:i w:val="false"/>
          <w:color w:val="000000"/>
          <w:sz w:val="22"/>
        </w:rPr>
        <w:t xml:space="preserve"> for the purposes identified therein.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0309D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261—403.2</w:t>
      </w:r>
      <w:r>
        <w:rPr>
          <w:rFonts w:ascii="Times New Roman" w:hAnsi="Times New Roman"/>
          <w:b/>
          <w:i w:val="false"/>
          <w:color w:val="000000"/>
          <w:sz w:val="22"/>
        </w:rPr>
        <w:t xml:space="preserve">(15) </w:t>
      </w:r>
      <w:r>
        <w:rPr>
          <w:rFonts w:ascii="Times New Roman" w:hAnsi="Times New Roman"/>
          <w:b/>
          <w:i w:val="false"/>
          <w:color w:val="000000"/>
          <w:sz w:val="22"/>
        </w:rPr>
        <w:t xml:space="preserve">Iowa energy center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403.2(1)</w:t>
      </w:r>
      <w:r>
        <w:rPr>
          <w:rFonts w:ascii="Times New Roman" w:hAnsi="Times New Roman"/>
          <w:b w:val="false"/>
          <w:i w:val="false"/>
          <w:color w:val="000000"/>
          <w:sz w:val="22"/>
        </w:rPr>
        <w:t> </w:t>
      </w:r>
      <w:r>
        <w:rPr>
          <w:rFonts w:ascii="Times New Roman" w:hAnsi="Times New Roman"/>
          <w:b w:val="false"/>
          <w:i/>
          <w:color w:val="000000"/>
          <w:sz w:val="22"/>
        </w:rPr>
        <w:t xml:space="preserve">Quorum and voting requirements. </w:t>
      </w:r>
      <w:r>
        <w:rPr>
          <w:rFonts w:ascii="Times New Roman" w:hAnsi="Times New Roman"/>
          <w:b w:val="false"/>
          <w:i w:val="false"/>
          <w:color w:val="000000"/>
          <w:sz w:val="22"/>
        </w:rPr>
        <w:t>Seven or more members of the board constitute a quorum, and any board action requires an affirmative vote by a majority of the members present.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403.2(2)</w:t>
      </w:r>
      <w:r>
        <w:rPr>
          <w:rFonts w:ascii="Times New Roman" w:hAnsi="Times New Roman"/>
          <w:b w:val="false"/>
          <w:i w:val="false"/>
          <w:color w:val="000000"/>
          <w:sz w:val="22"/>
        </w:rPr>
        <w:t> </w:t>
      </w:r>
      <w:r>
        <w:rPr>
          <w:rFonts w:ascii="Times New Roman" w:hAnsi="Times New Roman"/>
          <w:b w:val="false"/>
          <w:i/>
          <w:color w:val="000000"/>
          <w:sz w:val="22"/>
        </w:rPr>
        <w:t xml:space="preserve">Board officers. </w:t>
      </w:r>
      <w:r>
        <w:rPr>
          <w:rFonts w:ascii="Times New Roman" w:hAnsi="Times New Roman"/>
          <w:b w:val="false"/>
          <w:i w:val="false"/>
          <w:color w:val="000000"/>
          <w:sz w:val="22"/>
        </w:rPr>
        <w:t>Members of the board elect a chairperson and a vice chairperson annually and may elect other officers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403.2(3)</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generally meets quarterly at the authority’s offices or by electronic means. By notice of the regularly published meeting agendas, the board and its committees may hold regular or special meetings at other locations within the state. Meeting agendas are available on the authority’s website at </w:t>
      </w:r>
      <w:hyperlink r:id="rId8">
        <w:r>
          <w:rPr>
            <w:rStyle w:val="Hyperlink"/>
            <w:rFonts w:ascii="Times New Roman" w:hAnsi="Times New Roman"/>
            <w:b w:val="false"/>
            <w:i w:val="false"/>
            <w:color w:val="000000"/>
            <w:sz w:val="22"/>
            <w:u w:val="single"/>
          </w:rPr>
          <w:t>www.opportunityiowa.gov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chairperson may exclude any person disrupting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403.2(4)</w:t>
      </w:r>
      <w:r>
        <w:rPr>
          <w:rFonts w:ascii="Times New Roman" w:hAnsi="Times New Roman"/>
          <w:b w:val="false"/>
          <w:i w:val="false"/>
          <w:color w:val="000000"/>
          <w:sz w:val="22"/>
        </w:rPr>
        <w:t> </w:t>
      </w:r>
      <w:r>
        <w:rPr>
          <w:rFonts w:ascii="Times New Roman" w:hAnsi="Times New Roman"/>
          <w:b w:val="false"/>
          <w:i/>
          <w:color w:val="000000"/>
          <w:sz w:val="22"/>
        </w:rPr>
        <w:t xml:space="preserve">Committees. </w:t>
      </w:r>
      <w:r>
        <w:rPr>
          <w:rFonts w:ascii="Times New Roman" w:hAnsi="Times New Roman"/>
          <w:b w:val="false"/>
          <w:i w:val="false"/>
          <w:color w:val="000000"/>
          <w:sz w:val="22"/>
        </w:rPr>
        <w:t>The board may, from time to time, establish advisory committees for purposes of overseeing the IEC, its programs, and its operations. Such committees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grant committee is established to assist the board in making and administering awards of grants under the IEC’s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grant committee is an advisory body comprised of voting members of the board who are selected annually by the voting members of the board. The membership and size of the committee as well as the terms of the committee members will be established annually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members of the grant committee may elect a chairperson. The chairperson may appoint members of the grant committee to serve on a grant committee subcommittee if necessary. Such a subcommittee is advisory only and may perform such duties as may be assigned by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duties of the grant committee may include reviewing applications for grant awards, making recommendations to the board regarding the size and condition of grant awards, and any other duty assigned by the board in relation to the programs administered by the IEC.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majority of the committee members constitutes a quorum of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Meetings of the grant committee are held at the call of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loan committee is established to assist the board in making and administering loan awards under the IEC’s programs, including the alternate energy revolving loan program and energy infrastructure revolving loan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loan committee is an advisory body comprised of voting members of the board who are selected annually by the voting members of the board. The membership and size of the committee as well as the terms of the committee members will be established annually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members of the loan committee may elect a chairperson. The chairperson may appoint members of the loan committee to serve on a loan committee subcommittee if necessary. Such a subcommittee is advisory only and may perform such duties as may be assigned by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duties of the loan committee may include reviewing applications for loans, making recommendations to the board regarding the size and condition of loans, and any other duty assigned by the board in relation to the programs administered by the IEC.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majority of the committee members constitutes a quorum of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Meetings of the loan committee are held at the call of the chairperson.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0309D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15.120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4063C</w:t>
      </w:r>
      <w:r>
        <w:rPr>
          <w:rFonts w:ascii="Times New Roman" w:hAnsi="Times New Roman"/>
          <w:b w:val="false"/>
          <w:i w:val="false"/>
          <w:color w:val="000000"/>
          <w:sz w:val="21"/>
        </w:rPr>
        <w:t xml:space="preserve"> (Notice ARC 3842C, IAB 6/20/18)</w:t>
      </w:r>
      <w:r>
        <w:rPr>
          <w:rFonts w:ascii="Times New Roman" w:hAnsi="Times New Roman"/>
          <w:b w:val="false"/>
          <w:i w:val="false"/>
          <w:color w:val="000000"/>
          <w:sz w:val="21"/>
        </w:rPr>
        <w:t>, IAB 10/10/18, effective 11/14/18]</w:t>
      </w:r>
    </w:p>
    <w:p>
      <w:pPr>
        <w:spacing w:before="0" w:after="0"/>
        <w:ind w:left="120"/>
        <w:jc w:val="center"/>
      </w:pPr>
      <w:r>
        <w:rPr>
          <w:rFonts w:ascii="Times New Roman" w:hAnsi="Times New Roman"/>
          <w:b w:val="false"/>
          <w:i w:val="false"/>
          <w:color w:val="000000"/>
          <w:sz w:val="21"/>
        </w:rPr>
        <w:t>[Filed Emergency After Notice ARC 5994C</w:t>
      </w:r>
      <w:r>
        <w:rPr>
          <w:rFonts w:ascii="Times New Roman" w:hAnsi="Times New Roman"/>
          <w:b w:val="false"/>
          <w:i w:val="false"/>
          <w:color w:val="000000"/>
          <w:sz w:val="21"/>
        </w:rPr>
        <w:t xml:space="preserve"> (Notice ARC 5878C, IAB 8/25/21)</w:t>
      </w:r>
      <w:r>
        <w:rPr>
          <w:rFonts w:ascii="Times New Roman" w:hAnsi="Times New Roman"/>
          <w:b w:val="false"/>
          <w:i w:val="false"/>
          <w:color w:val="000000"/>
          <w:sz w:val="21"/>
        </w:rPr>
        <w:t>, IAB 10/20/21, effective 9/30/21]</w:t>
      </w:r>
    </w:p>
    <w:p>
      <w:pPr>
        <w:spacing w:before="0" w:after="0"/>
        <w:ind w:left="120"/>
        <w:jc w:val="center"/>
      </w:pPr>
      <w:r>
        <w:rPr>
          <w:rFonts w:ascii="Times New Roman" w:hAnsi="Times New Roman"/>
          <w:b w:val="false"/>
          <w:i w:val="false"/>
          <w:color w:val="000000"/>
          <w:sz w:val="21"/>
        </w:rPr>
        <w:t>[Filed ARC 6492C</w:t>
      </w:r>
      <w:r>
        <w:rPr>
          <w:rFonts w:ascii="Times New Roman" w:hAnsi="Times New Roman"/>
          <w:b w:val="false"/>
          <w:i w:val="false"/>
          <w:color w:val="000000"/>
          <w:sz w:val="21"/>
        </w:rPr>
        <w:t xml:space="preserve"> (Notice ARC 6383C, IAB 6/29/22)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[Filed ARC 0309D</w:t>
      </w:r>
      <w:r>
        <w:rPr>
          <w:rFonts w:ascii="Times New Roman" w:hAnsi="Times New Roman"/>
          <w:b w:val="false"/>
          <w:i w:val="false"/>
          <w:color w:val="000000"/>
          <w:sz w:val="21"/>
        </w:rPr>
        <w:t xml:space="preserve"> (Notice ARC 9951C, IAB 1/7/26)</w:t>
      </w:r>
      <w:r>
        <w:rPr>
          <w:rFonts w:ascii="Times New Roman" w:hAnsi="Times New Roman"/>
          <w:b w:val="false"/>
          <w:i w:val="false"/>
          <w:color w:val="000000"/>
          <w:sz w:val="21"/>
        </w:rPr>
        <w:t>, IAB 5/27/26, effective 7/1/26]</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s://www.legis.iowa.gov/docs/ico/chapter/15.120.pdf" Type="http://schemas.openxmlformats.org/officeDocument/2006/relationships/hyperlink" Id="rId6"/>
    <Relationship TargetMode="External" Target="https://www.legis.iowa.gov/docs/ico/chapter/15.120.pdf" Type="http://schemas.openxmlformats.org/officeDocument/2006/relationships/hyperlink" Id="rId7"/>
    <Relationship TargetMode="External" Target="http://www.opportunityiowa.gov" Type="http://schemas.openxmlformats.org/officeDocument/2006/relationships/hyperlink" Id="rId8"/>
    <Relationship TargetMode="External" Target="https://www.legis.iowa.gov/docs/ico/chapter/15.120.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