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39</w:t>
      </w:r>
    </w:p>
    <w:p>
      <w:pPr>
        <w:spacing w:before="0" w:after="0"/>
        <w:ind w:left="120"/>
        <w:jc w:val="center"/>
      </w:pPr>
      <w:r>
        <w:rPr>
          <w:rFonts w:ascii="Times New Roman" w:hAnsi="Times New Roman"/>
          <w:b w:val="false"/>
          <w:i w:val="false"/>
          <w:color w:val="000000"/>
          <w:sz w:val="21"/>
        </w:rPr>
        <w:t>MAIN STREET IOWA PROGRAM</w:t>
      </w:r>
    </w:p>
    <w:p>
      <w:pPr>
        <w:spacing w:before="0" w:after="0"/>
        <w:ind w:left="120"/>
        <w:jc w:val="center"/>
      </w:pPr>
      <w:r>
        <w:rPr>
          <w:rFonts w:ascii="Times New Roman" w:hAnsi="Times New Roman"/>
          <w:b w:val="false"/>
          <w:i w:val="false"/>
          <w:color w:val="000000"/>
          <w:sz w:val="14"/>
        </w:rPr>
        <w:t>[Prior to 1/14/87, Iowa Development Commission[520] Ch 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5/20/31</w:t>
      </w:r>
    </w:p>
    <w:p>
      <w:pPr>
        <w:spacing w:before="0" w:after="0"/>
        <w:ind w:left="120"/>
        <w:jc w:val="both"/>
      </w:pPr>
      <w:r>
        <w:rPr>
          <w:rFonts w:ascii="Times New Roman" w:hAnsi="Times New Roman"/>
          <w:b/>
          <w:i w:val="false"/>
          <w:color w:val="000000"/>
          <w:sz w:val="22"/>
        </w:rPr>
        <w:t>261—39.1</w:t>
      </w:r>
      <w:r>
        <w:rPr>
          <w:rFonts w:ascii="Times New Roman" w:hAnsi="Times New Roman"/>
          <w:b/>
          <w:i w:val="false"/>
          <w:color w:val="000000"/>
          <w:sz w:val="22"/>
        </w:rPr>
        <w:t xml:space="preserve">(15) </w:t>
      </w:r>
      <w:r>
        <w:rPr>
          <w:rFonts w:ascii="Times New Roman" w:hAnsi="Times New Roman"/>
          <w:b/>
          <w:i w:val="false"/>
          <w:color w:val="000000"/>
          <w:sz w:val="22"/>
        </w:rPr>
        <w:t xml:space="preserve">Purpose. </w:t>
      </w:r>
      <w:r>
        <w:rPr>
          <w:rFonts w:ascii="Times New Roman" w:hAnsi="Times New Roman"/>
          <w:b w:val="false"/>
          <w:i w:val="false"/>
          <w:color w:val="000000"/>
          <w:sz w:val="22"/>
        </w:rPr>
        <w:t>Communities selected by the authority for participation in the main street Iowa program pursuant to this chapter will receive technical assistance from the authority’s main street Iowa staff, professional staff of Main Street America, and other professional consultants to facilitate the communities’ local main street programs and may receive financial assistance from the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0204D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261—39.2</w:t>
      </w:r>
      <w:r>
        <w:rPr>
          <w:rFonts w:ascii="Times New Roman" w:hAnsi="Times New Roman"/>
          <w:b/>
          <w:i w:val="false"/>
          <w:color w:val="000000"/>
          <w:sz w:val="22"/>
        </w:rPr>
        <w:t xml:space="preserve">(15)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apply to the main street Iowa program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“Authority”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economic development authority created in Iowa Code section </w:t>
      </w:r>
      <w:hyperlink r:id="rId5">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“Designated main street Iowa community”</w:t>
      </w:r>
      <w:r>
        <w:rPr>
          <w:rFonts w:ascii="Times New Roman" w:hAnsi="Times New Roman"/>
          <w:b w:val="false"/>
          <w:i w:val="false"/>
          <w:color w:val="000000"/>
          <w:sz w:val="22"/>
        </w:rPr>
        <w:t> </w:t>
      </w:r>
      <w:r>
        <w:rPr>
          <w:rFonts w:ascii="Times New Roman" w:hAnsi="Times New Roman"/>
          <w:b w:val="false"/>
          <w:i w:val="false"/>
          <w:color w:val="000000"/>
          <w:sz w:val="22"/>
        </w:rPr>
        <w:t>means a community that has been selected for participation in the program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“Director”</w:t>
      </w:r>
      <w:r>
        <w:rPr>
          <w:rFonts w:ascii="Times New Roman" w:hAnsi="Times New Roman"/>
          <w:b w:val="false"/>
          <w:i w:val="false"/>
          <w:color w:val="000000"/>
          <w:sz w:val="22"/>
        </w:rPr>
        <w:t> </w:t>
      </w:r>
      <w:r>
        <w:rPr>
          <w:rFonts w:ascii="Times New Roman" w:hAnsi="Times New Roman"/>
          <w:b w:val="false"/>
          <w:i w:val="false"/>
          <w:color w:val="000000"/>
          <w:sz w:val="22"/>
        </w:rPr>
        <w:t>means the director of the economic development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“Eligible activity”</w:t>
      </w:r>
      <w:r>
        <w:rPr>
          <w:rFonts w:ascii="Times New Roman" w:hAnsi="Times New Roman"/>
          <w:b w:val="false"/>
          <w:i w:val="false"/>
          <w:color w:val="000000"/>
          <w:sz w:val="22"/>
        </w:rPr>
        <w:t> </w:t>
      </w:r>
      <w:r>
        <w:rPr>
          <w:rFonts w:ascii="Times New Roman" w:hAnsi="Times New Roman"/>
          <w:b w:val="false"/>
          <w:i w:val="false"/>
          <w:color w:val="000000"/>
          <w:sz w:val="22"/>
        </w:rPr>
        <w:t>includes organization, promotion, design, and economic vitality activities to create a positive image and an improved economy in a city’s traditional commercial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“Eligible applicant”</w:t>
      </w:r>
      <w:r>
        <w:rPr>
          <w:rFonts w:ascii="Times New Roman" w:hAnsi="Times New Roman"/>
          <w:b w:val="false"/>
          <w:i w:val="false"/>
          <w:color w:val="000000"/>
          <w:sz w:val="22"/>
        </w:rPr>
        <w:t> </w:t>
      </w:r>
      <w:r>
        <w:rPr>
          <w:rFonts w:ascii="Times New Roman" w:hAnsi="Times New Roman"/>
          <w:b w:val="false"/>
          <w:i w:val="false"/>
          <w:color w:val="000000"/>
          <w:sz w:val="22"/>
        </w:rPr>
        <w:t>means a city in Iowa that files a joint application with a local nonprofit organization established by the community to govern the local main street program. Two or more cities may submit a combined application if invited to submit such combined application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“Main Street America”</w:t>
      </w:r>
      <w:r>
        <w:rPr>
          <w:rFonts w:ascii="Times New Roman" w:hAnsi="Times New Roman"/>
          <w:b w:val="false"/>
          <w:i w:val="false"/>
          <w:color w:val="000000"/>
          <w:sz w:val="22"/>
        </w:rPr>
        <w:t> </w:t>
      </w:r>
      <w:r>
        <w:rPr>
          <w:rFonts w:ascii="Times New Roman" w:hAnsi="Times New Roman"/>
          <w:b w:val="false"/>
          <w:i w:val="false"/>
          <w:color w:val="000000"/>
          <w:sz w:val="22"/>
        </w:rPr>
        <w:t>means a nonprofit subsidiary of the National Trust for Historic Preservation, a nonprofit organization chartered by the United States Congress. Main Street America owns the licensed, trademarked Main Street Four-Point Approach</w:t>
      </w:r>
      <w:r>
        <w:rPr>
          <w:rFonts w:ascii="Times New Roman" w:hAnsi="Times New Roman"/>
          <w:b w:val="false"/>
          <w:i w:val="false"/>
          <w:color w:val="000000"/>
          <w:sz w:val="18"/>
          <w:vertAlign w:val="superscript"/>
        </w:rPr>
        <w:t>TM</w:t>
      </w:r>
      <w:r>
        <w:rPr>
          <w:rFonts w:ascii="Times New Roman" w:hAnsi="Times New Roman"/>
          <w:b w:val="false"/>
          <w:i w:val="false"/>
          <w:color w:val="000000"/>
          <w:sz w:val="22"/>
        </w:rPr>
        <w:t xml:space="preserve"> (main street approach).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“Program”</w:t>
      </w:r>
      <w:r>
        <w:rPr>
          <w:rFonts w:ascii="Times New Roman" w:hAnsi="Times New Roman"/>
          <w:b w:val="false"/>
          <w:i w:val="false"/>
          <w:color w:val="000000"/>
          <w:sz w:val="22"/>
        </w:rPr>
        <w:t> </w:t>
      </w:r>
      <w:r>
        <w:rPr>
          <w:rFonts w:ascii="Times New Roman" w:hAnsi="Times New Roman"/>
          <w:b w:val="false"/>
          <w:i w:val="false"/>
          <w:color w:val="000000"/>
          <w:sz w:val="22"/>
        </w:rPr>
        <w:t>means the main street Iowa program established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“Traditional commercial district”</w:t>
      </w:r>
      <w:r>
        <w:rPr>
          <w:rFonts w:ascii="Times New Roman" w:hAnsi="Times New Roman"/>
          <w:b w:val="false"/>
          <w:i w:val="false"/>
          <w:color w:val="000000"/>
          <w:sz w:val="22"/>
        </w:rPr>
        <w:t> </w:t>
      </w:r>
      <w:r>
        <w:rPr>
          <w:rFonts w:ascii="Times New Roman" w:hAnsi="Times New Roman"/>
          <w:b w:val="false"/>
          <w:i w:val="false"/>
          <w:color w:val="000000"/>
          <w:sz w:val="22"/>
        </w:rPr>
        <w:t>means a downtown or neighborhood area that is walkable and is dominated by historic or older commercial architecture and contiguous commercial uses. A traditional commercial district defines the target area of the local program efforts.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0204D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261—39.3</w:t>
      </w:r>
      <w:r>
        <w:rPr>
          <w:rFonts w:ascii="Times New Roman" w:hAnsi="Times New Roman"/>
          <w:b/>
          <w:i w:val="false"/>
          <w:color w:val="000000"/>
          <w:sz w:val="22"/>
        </w:rPr>
        <w:t xml:space="preserve">(15) </w:t>
      </w:r>
      <w:r>
        <w:rPr>
          <w:rFonts w:ascii="Times New Roman" w:hAnsi="Times New Roman"/>
          <w:b/>
          <w:i w:val="false"/>
          <w:color w:val="000000"/>
          <w:sz w:val="22"/>
        </w:rPr>
        <w:t xml:space="preserve">Program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39.3(1)</w:t>
      </w:r>
      <w:r>
        <w:rPr>
          <w:rFonts w:ascii="Times New Roman" w:hAnsi="Times New Roman"/>
          <w:b w:val="false"/>
          <w:i w:val="false"/>
          <w:color w:val="000000"/>
          <w:sz w:val="22"/>
        </w:rPr>
        <w:t> </w:t>
      </w:r>
      <w:r>
        <w:rPr>
          <w:rFonts w:ascii="Times New Roman" w:hAnsi="Times New Roman"/>
          <w:b w:val="false"/>
          <w:i/>
          <w:color w:val="000000"/>
          <w:sz w:val="22"/>
        </w:rPr>
        <w:t xml:space="preserve">Subcontracting. </w:t>
      </w:r>
      <w:r>
        <w:rPr>
          <w:rFonts w:ascii="Times New Roman" w:hAnsi="Times New Roman"/>
          <w:b w:val="false"/>
          <w:i w:val="false"/>
          <w:color w:val="000000"/>
          <w:sz w:val="22"/>
        </w:rPr>
        <w:t>The authority may contract with Main Street America for technical and professional services, as well as with other appropriate consultants and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39.3(2)</w:t>
      </w:r>
      <w:r>
        <w:rPr>
          <w:rFonts w:ascii="Times New Roman" w:hAnsi="Times New Roman"/>
          <w:b w:val="false"/>
          <w:i w:val="false"/>
          <w:color w:val="000000"/>
          <w:sz w:val="22"/>
        </w:rPr>
        <w:t> </w:t>
      </w:r>
      <w:r>
        <w:rPr>
          <w:rFonts w:ascii="Times New Roman" w:hAnsi="Times New Roman"/>
          <w:b w:val="false"/>
          <w:i/>
          <w:color w:val="000000"/>
          <w:sz w:val="22"/>
        </w:rPr>
        <w:t xml:space="preserve">Advisory council. </w:t>
      </w:r>
      <w:r>
        <w:rPr>
          <w:rFonts w:ascii="Times New Roman" w:hAnsi="Times New Roman"/>
          <w:b w:val="false"/>
          <w:i w:val="false"/>
          <w:color w:val="000000"/>
          <w:sz w:val="22"/>
        </w:rPr>
        <w:t>The director may appoint a state main street advisory council composed of individuals knowledgeable in traditional commercial district revitalization to advise the authority on the various elements of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0204D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261—39.4</w:t>
      </w:r>
      <w:r>
        <w:rPr>
          <w:rFonts w:ascii="Times New Roman" w:hAnsi="Times New Roman"/>
          <w:b/>
          <w:i w:val="false"/>
          <w:color w:val="000000"/>
          <w:sz w:val="22"/>
        </w:rPr>
        <w:t xml:space="preserve">(15) </w:t>
      </w:r>
      <w:r>
        <w:rPr>
          <w:rFonts w:ascii="Times New Roman" w:hAnsi="Times New Roman"/>
          <w:b/>
          <w:i w:val="false"/>
          <w:color w:val="000000"/>
          <w:sz w:val="22"/>
        </w:rPr>
        <w:t xml:space="preserve">Application and selection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39.4(1)</w:t>
      </w:r>
      <w:r>
        <w:rPr>
          <w:rFonts w:ascii="Times New Roman" w:hAnsi="Times New Roman"/>
          <w:b w:val="false"/>
          <w:i w:val="false"/>
          <w:color w:val="000000"/>
          <w:sz w:val="22"/>
        </w:rPr>
        <w:t> </w:t>
      </w:r>
      <w:r>
        <w:rPr>
          <w:rFonts w:ascii="Times New Roman" w:hAnsi="Times New Roman"/>
          <w:b w:val="false"/>
          <w:i w:val="false"/>
          <w:color w:val="000000"/>
          <w:sz w:val="22"/>
        </w:rPr>
        <w:t>The authority will make standard application forms available only to prospective applicants that have attended an application workshop conducted by the authority. A completed application shall be submitted to the authority no later than the date specified in the application and contain the information requested in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39.4(2)</w:t>
      </w:r>
      <w:r>
        <w:rPr>
          <w:rFonts w:ascii="Times New Roman" w:hAnsi="Times New Roman"/>
          <w:b w:val="false"/>
          <w:i w:val="false"/>
          <w:color w:val="000000"/>
          <w:sz w:val="22"/>
        </w:rPr>
        <w:t> </w:t>
      </w:r>
      <w:r>
        <w:rPr>
          <w:rFonts w:ascii="Times New Roman" w:hAnsi="Times New Roman"/>
          <w:b w:val="false"/>
          <w:i w:val="false"/>
          <w:color w:val="000000"/>
          <w:sz w:val="22"/>
        </w:rPr>
        <w:t>The director will determine the number of applicants to be selected for inclusion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will select applicants for participation in the program based on the criteria in rule </w:t>
      </w:r>
      <w:hyperlink r:id="rId6">
        <w:r>
          <w:rPr>
            <w:rStyle w:val="Hyperlink"/>
            <w:rFonts w:ascii="Times New Roman" w:hAnsi="Times New Roman"/>
            <w:b w:val="false"/>
            <w:i w:val="false"/>
            <w:color w:val="000000"/>
            <w:sz w:val="22"/>
          </w:rPr>
          <w:t>261—39.5</w:t>
        </w:r>
      </w:hyperlink>
      <w:r>
        <w:rPr>
          <w:rFonts w:ascii="Times New Roman" w:hAnsi="Times New Roman"/>
          <w:b w:val="false"/>
          <w:i w:val="false"/>
          <w:color w:val="000000"/>
          <w:sz w:val="22"/>
        </w:rPr>
        <w:t>(15).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39.4(4)</w:t>
      </w:r>
      <w:r>
        <w:rPr>
          <w:rFonts w:ascii="Times New Roman" w:hAnsi="Times New Roman"/>
          <w:b w:val="false"/>
          <w:i w:val="false"/>
          <w:color w:val="000000"/>
          <w:sz w:val="22"/>
        </w:rPr>
        <w:t> </w:t>
      </w:r>
      <w:r>
        <w:rPr>
          <w:rFonts w:ascii="Times New Roman" w:hAnsi="Times New Roman"/>
          <w:b w:val="false"/>
          <w:i w:val="false"/>
          <w:color w:val="000000"/>
          <w:sz w:val="22"/>
        </w:rPr>
        <w:t>The authority will notify applicants selected for participation in the program in writing.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0204D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261—39.5</w:t>
      </w:r>
      <w:r>
        <w:rPr>
          <w:rFonts w:ascii="Times New Roman" w:hAnsi="Times New Roman"/>
          <w:b/>
          <w:i w:val="false"/>
          <w:color w:val="000000"/>
          <w:sz w:val="22"/>
        </w:rPr>
        <w:t xml:space="preserve">(15) </w:t>
      </w:r>
      <w:r>
        <w:rPr>
          <w:rFonts w:ascii="Times New Roman" w:hAnsi="Times New Roman"/>
          <w:b/>
          <w:i w:val="false"/>
          <w:color w:val="000000"/>
          <w:sz w:val="22"/>
        </w:rPr>
        <w:t xml:space="preserve">Selection criteria. </w:t>
      </w:r>
      <w:r>
        <w:rPr>
          <w:rFonts w:ascii="Times New Roman" w:hAnsi="Times New Roman"/>
          <w:b w:val="false"/>
          <w:i w:val="false"/>
          <w:color w:val="000000"/>
          <w:sz w:val="22"/>
        </w:rPr>
        <w:t>The authority will consider the following factors to select applicants for participation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39.5(1)</w:t>
      </w:r>
      <w:r>
        <w:rPr>
          <w:rFonts w:ascii="Times New Roman" w:hAnsi="Times New Roman"/>
          <w:b w:val="false"/>
          <w:i w:val="false"/>
          <w:color w:val="000000"/>
          <w:sz w:val="22"/>
        </w:rPr>
        <w:t> </w:t>
      </w:r>
      <w:r>
        <w:rPr>
          <w:rFonts w:ascii="Times New Roman" w:hAnsi="Times New Roman"/>
          <w:b w:val="false"/>
          <w:i w:val="false"/>
          <w:color w:val="000000"/>
          <w:sz w:val="22"/>
        </w:rPr>
        <w:t>The applicant has a well-planned budget demonstrating sustainable funding for ongoing operations and evidence of adequate local sources of funding to support the traditional commercial district revitalization organization and its programming.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39.5(2)</w:t>
      </w:r>
      <w:r>
        <w:rPr>
          <w:rFonts w:ascii="Times New Roman" w:hAnsi="Times New Roman"/>
          <w:b w:val="false"/>
          <w:i w:val="false"/>
          <w:color w:val="000000"/>
          <w:sz w:val="22"/>
        </w:rPr>
        <w:t> </w:t>
      </w:r>
      <w:r>
        <w:rPr>
          <w:rFonts w:ascii="Times New Roman" w:hAnsi="Times New Roman"/>
          <w:b w:val="false"/>
          <w:i w:val="false"/>
          <w:color w:val="000000"/>
          <w:sz w:val="22"/>
        </w:rPr>
        <w:t>The applicant has garnered broad-based financial and philosophical community support for the local program, including support from the city.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39.5(3)</w:t>
      </w:r>
      <w:r>
        <w:rPr>
          <w:rFonts w:ascii="Times New Roman" w:hAnsi="Times New Roman"/>
          <w:b w:val="false"/>
          <w:i w:val="false"/>
          <w:color w:val="000000"/>
          <w:sz w:val="22"/>
        </w:rPr>
        <w:t> </w:t>
      </w:r>
      <w:r>
        <w:rPr>
          <w:rFonts w:ascii="Times New Roman" w:hAnsi="Times New Roman"/>
          <w:b w:val="false"/>
          <w:i w:val="false"/>
          <w:color w:val="000000"/>
          <w:sz w:val="22"/>
        </w:rPr>
        <w:t>The applicant has provided evidence of willingness by local stakeholders to get involved in the effort.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39.5(4)</w:t>
      </w:r>
      <w:r>
        <w:rPr>
          <w:rFonts w:ascii="Times New Roman" w:hAnsi="Times New Roman"/>
          <w:b w:val="false"/>
          <w:i w:val="false"/>
          <w:color w:val="000000"/>
          <w:sz w:val="22"/>
        </w:rPr>
        <w:t> </w:t>
      </w:r>
      <w:r>
        <w:rPr>
          <w:rFonts w:ascii="Times New Roman" w:hAnsi="Times New Roman"/>
          <w:b w:val="false"/>
          <w:i w:val="false"/>
          <w:color w:val="000000"/>
          <w:sz w:val="22"/>
        </w:rPr>
        <w:t>The applicant has demonstrated its commitment to the main street approach and has hired or will hire an executive director to manage the local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39.5(5)</w:t>
      </w:r>
      <w:r>
        <w:rPr>
          <w:rFonts w:ascii="Times New Roman" w:hAnsi="Times New Roman"/>
          <w:b w:val="false"/>
          <w:i w:val="false"/>
          <w:color w:val="000000"/>
          <w:sz w:val="22"/>
        </w:rPr>
        <w:t> </w:t>
      </w:r>
      <w:r>
        <w:rPr>
          <w:rFonts w:ascii="Times New Roman" w:hAnsi="Times New Roman"/>
          <w:b w:val="false"/>
          <w:i w:val="false"/>
          <w:color w:val="000000"/>
          <w:sz w:val="22"/>
        </w:rPr>
        <w:t>The applicant is committed to historic preservation and preservation-based economic development, has a track record of preservation planning, and has a commitment to future preservation projects.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39.5(6)</w:t>
      </w:r>
      <w:r>
        <w:rPr>
          <w:rFonts w:ascii="Times New Roman" w:hAnsi="Times New Roman"/>
          <w:b w:val="false"/>
          <w:i w:val="false"/>
          <w:color w:val="000000"/>
          <w:sz w:val="22"/>
        </w:rPr>
        <w:t> </w:t>
      </w:r>
      <w:r>
        <w:rPr>
          <w:rFonts w:ascii="Times New Roman" w:hAnsi="Times New Roman"/>
          <w:b w:val="false"/>
          <w:i w:val="false"/>
          <w:color w:val="000000"/>
          <w:sz w:val="22"/>
        </w:rPr>
        <w:t>The applicant has provided evidence of traditional commercial district planning efforts and clearly defined goals.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39.5(7)</w:t>
      </w:r>
      <w:r>
        <w:rPr>
          <w:rFonts w:ascii="Times New Roman" w:hAnsi="Times New Roman"/>
          <w:b w:val="false"/>
          <w:i w:val="false"/>
          <w:color w:val="000000"/>
          <w:sz w:val="22"/>
        </w:rPr>
        <w:t> </w:t>
      </w:r>
      <w:r>
        <w:rPr>
          <w:rFonts w:ascii="Times New Roman" w:hAnsi="Times New Roman"/>
          <w:b w:val="false"/>
          <w:i w:val="false"/>
          <w:color w:val="000000"/>
          <w:sz w:val="22"/>
        </w:rPr>
        <w:t>The applicant has defined an organizational structure to manage local program efforts.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39.5(8)</w:t>
      </w:r>
      <w:r>
        <w:rPr>
          <w:rFonts w:ascii="Times New Roman" w:hAnsi="Times New Roman"/>
          <w:b w:val="false"/>
          <w:i w:val="false"/>
          <w:color w:val="000000"/>
          <w:sz w:val="22"/>
        </w:rPr>
        <w:t> </w:t>
      </w:r>
      <w:r>
        <w:rPr>
          <w:rFonts w:ascii="Times New Roman" w:hAnsi="Times New Roman"/>
          <w:b w:val="false"/>
          <w:i w:val="false"/>
          <w:color w:val="000000"/>
          <w:sz w:val="22"/>
        </w:rPr>
        <w:t>The applicant demonstrates an eagerness to learn and implement traditional commercial district revitalization strategies and techniques.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39.5(9)</w:t>
      </w:r>
      <w:r>
        <w:rPr>
          <w:rFonts w:ascii="Times New Roman" w:hAnsi="Times New Roman"/>
          <w:b w:val="false"/>
          <w:i w:val="false"/>
          <w:color w:val="000000"/>
          <w:sz w:val="22"/>
        </w:rPr>
        <w:t> </w:t>
      </w:r>
      <w:r>
        <w:rPr>
          <w:rFonts w:ascii="Times New Roman" w:hAnsi="Times New Roman"/>
          <w:b w:val="false"/>
          <w:i w:val="false"/>
          <w:color w:val="000000"/>
          <w:sz w:val="22"/>
        </w:rPr>
        <w:t>The applicant has clearly defined the boundaries of the proposed traditional commercial district and has articulated the reasons behind the location of the boundaries.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39.5(10)</w:t>
      </w:r>
      <w:r>
        <w:rPr>
          <w:rFonts w:ascii="Times New Roman" w:hAnsi="Times New Roman"/>
          <w:b w:val="false"/>
          <w:i w:val="false"/>
          <w:color w:val="000000"/>
          <w:sz w:val="22"/>
        </w:rPr>
        <w:t> </w:t>
      </w:r>
      <w:r>
        <w:rPr>
          <w:rFonts w:ascii="Times New Roman" w:hAnsi="Times New Roman"/>
          <w:b w:val="false"/>
          <w:i w:val="false"/>
          <w:color w:val="000000"/>
          <w:sz w:val="22"/>
        </w:rPr>
        <w:t>The applicant has identified a traditional commercial district that has clear potential for success, as demonstrated by the presence of the following elements: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Existence of historic character of the traditional commercial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Plans for the traditional commercial district demonstrate a recognition of traditional commercial district trends and address the challenges unique to that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Present market capacity defined by a current business environment upon which the district can build its revitalization efforts.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Present physical capacity defined by building stock and built environment upon which the district can build its revitalization efforts.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0204D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261—39.6</w:t>
      </w:r>
      <w:r>
        <w:rPr>
          <w:rFonts w:ascii="Times New Roman" w:hAnsi="Times New Roman"/>
          <w:b/>
          <w:i w:val="false"/>
          <w:color w:val="000000"/>
          <w:sz w:val="22"/>
        </w:rPr>
        <w:t xml:space="preserve">(15) </w:t>
      </w:r>
      <w:r>
        <w:rPr>
          <w:rFonts w:ascii="Times New Roman" w:hAnsi="Times New Roman"/>
          <w:b/>
          <w:i w:val="false"/>
          <w:color w:val="000000"/>
          <w:sz w:val="22"/>
        </w:rPr>
        <w:t xml:space="preserve">Reports. </w:t>
      </w:r>
      <w:r>
        <w:rPr>
          <w:rFonts w:ascii="Times New Roman" w:hAnsi="Times New Roman"/>
          <w:b w:val="false"/>
          <w:i w:val="false"/>
          <w:color w:val="000000"/>
          <w:sz w:val="22"/>
        </w:rPr>
        <w:t>Designated main street Iowa communities shall submit performance reports to the authority as required that document the progress of the program activities.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0204D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261—39.7</w:t>
      </w:r>
      <w:r>
        <w:rPr>
          <w:rFonts w:ascii="Times New Roman" w:hAnsi="Times New Roman"/>
          <w:b/>
          <w:i w:val="false"/>
          <w:color w:val="000000"/>
          <w:sz w:val="22"/>
        </w:rPr>
        <w:t xml:space="preserve">(15) </w:t>
      </w:r>
      <w:r>
        <w:rPr>
          <w:rFonts w:ascii="Times New Roman" w:hAnsi="Times New Roman"/>
          <w:b/>
          <w:i w:val="false"/>
          <w:color w:val="000000"/>
          <w:sz w:val="22"/>
        </w:rPr>
        <w:t xml:space="preserve">Program agreement and noncompliance. </w:t>
      </w:r>
      <w:r>
        <w:rPr>
          <w:rFonts w:ascii="Times New Roman" w:hAnsi="Times New Roman"/>
          <w:b w:val="false"/>
          <w:i w:val="false"/>
          <w:color w:val="000000"/>
          <w:sz w:val="22"/>
        </w:rPr>
        <w:t>Each designated main street Iowa community shall enter into a standard program agreement with the authority. The program agreement will describe the obligations of the authority and the designated main street Iowa community. If the authority finds that a designated main street Iowa community is not in compliance with the requirements of the program or the terms of the program agreement, the authority may terminate the program agreement.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0204D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7">
        <w:r>
          <w:rPr>
            <w:rStyle w:val="Hyperlink"/>
            <w:rFonts w:ascii="Times New Roman" w:hAnsi="Times New Roman"/>
            <w:b w:val="false"/>
            <w:i w:val="false"/>
            <w:color w:val="000000"/>
            <w:sz w:val="22"/>
          </w:rPr>
          <w:t>15.106A(1)</w:t>
        </w:r>
      </w:hyperlink>
      <w:r>
        <w:rPr>
          <w:rFonts w:ascii="Times New Roman" w:hAnsi="Times New Roman"/>
          <w:b w:val="false"/>
          <w:i/>
          <w:color w:val="000000"/>
          <w:sz w:val="22"/>
        </w:rPr>
        <w:t>“i”</w:t>
      </w:r>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15.108(3)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12/13/85—published 1/1/86, effective 12/13/85]</w:t>
      </w:r>
    </w:p>
    <w:p>
      <w:pPr>
        <w:spacing w:before="0" w:after="0"/>
        <w:ind w:left="120"/>
        <w:jc w:val="center"/>
      </w:pPr>
      <w:r>
        <w:rPr>
          <w:rFonts w:ascii="Times New Roman" w:hAnsi="Times New Roman"/>
          <w:b w:val="false"/>
          <w:i w:val="false"/>
          <w:color w:val="000000"/>
          <w:sz w:val="21"/>
        </w:rPr>
        <w:t>[Filed 4/30/86, Notice 1/1/86—published 5/21/86, effective 6/25/86]</w:t>
      </w:r>
    </w:p>
    <w:p>
      <w:pPr>
        <w:spacing w:before="0" w:after="0"/>
        <w:ind w:left="120"/>
        <w:jc w:val="center"/>
      </w:pPr>
      <w:r>
        <w:rPr>
          <w:rFonts w:ascii="Times New Roman" w:hAnsi="Times New Roman"/>
          <w:b w:val="false"/>
          <w:i w:val="false"/>
          <w:color w:val="000000"/>
          <w:sz w:val="21"/>
        </w:rPr>
        <w:t>[Filed emergency 12/19/86—published 1/14/87, effective 12/19/86]</w:t>
      </w:r>
    </w:p>
    <w:p>
      <w:pPr>
        <w:spacing w:before="0" w:after="0"/>
        <w:ind w:left="120"/>
        <w:jc w:val="center"/>
      </w:pPr>
      <w:r>
        <w:rPr>
          <w:rFonts w:ascii="Times New Roman" w:hAnsi="Times New Roman"/>
          <w:b w:val="false"/>
          <w:i w:val="false"/>
          <w:color w:val="000000"/>
          <w:sz w:val="21"/>
        </w:rPr>
        <w:t>[Filed 10/27/89, Notice 9/6/89—published 11/15/89, effective 12/20/89]</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11/20/90, Notice 8/8/90—published 12/12/90, effective 1/16/91]</w:t>
      </w:r>
    </w:p>
    <w:p>
      <w:pPr>
        <w:spacing w:before="0" w:after="0"/>
        <w:ind w:left="120"/>
        <w:jc w:val="center"/>
      </w:pPr>
      <w:r>
        <w:rPr>
          <w:rFonts w:ascii="Times New Roman" w:hAnsi="Times New Roman"/>
          <w:b w:val="false"/>
          <w:i w:val="false"/>
          <w:color w:val="000000"/>
          <w:sz w:val="21"/>
        </w:rPr>
        <w:t>[Filed 12/16/94, Notice 11/9/94—published 1/4/95, effective 2/22/95]</w:t>
      </w:r>
    </w:p>
    <w:p>
      <w:pPr>
        <w:spacing w:before="0" w:after="0"/>
        <w:ind w:left="120"/>
        <w:jc w:val="center"/>
      </w:pPr>
      <w:r>
        <w:rPr>
          <w:rFonts w:ascii="Times New Roman" w:hAnsi="Times New Roman"/>
          <w:b w:val="false"/>
          <w:i w:val="false"/>
          <w:color w:val="000000"/>
          <w:sz w:val="21"/>
        </w:rPr>
        <w:t>[Filed ARC 9455B</w:t>
      </w:r>
      <w:r>
        <w:rPr>
          <w:rFonts w:ascii="Times New Roman" w:hAnsi="Times New Roman"/>
          <w:b w:val="false"/>
          <w:i w:val="false"/>
          <w:color w:val="000000"/>
          <w:sz w:val="21"/>
        </w:rPr>
        <w:t xml:space="preserve"> (Notice ARC 9336B, IAB 1/12/11)</w:t>
      </w:r>
      <w:r>
        <w:rPr>
          <w:rFonts w:ascii="Times New Roman" w:hAnsi="Times New Roman"/>
          <w:b w:val="false"/>
          <w:i w:val="false"/>
          <w:color w:val="000000"/>
          <w:sz w:val="21"/>
        </w:rPr>
        <w:t>, IAB 4/6/11, effective 5/11/11]</w:t>
      </w:r>
    </w:p>
    <w:p>
      <w:pPr>
        <w:spacing w:before="0" w:after="0"/>
        <w:ind w:left="120"/>
        <w:jc w:val="center"/>
      </w:pPr>
      <w:r>
        <w:rPr>
          <w:rFonts w:ascii="Times New Roman" w:hAnsi="Times New Roman"/>
          <w:b w:val="false"/>
          <w:i w:val="false"/>
          <w:color w:val="000000"/>
          <w:sz w:val="21"/>
        </w:rPr>
        <w:t>[Filed ARC 2748C</w:t>
      </w:r>
      <w:r>
        <w:rPr>
          <w:rFonts w:ascii="Times New Roman" w:hAnsi="Times New Roman"/>
          <w:b w:val="false"/>
          <w:i w:val="false"/>
          <w:color w:val="000000"/>
          <w:sz w:val="21"/>
        </w:rPr>
        <w:t xml:space="preserve"> (Notice ARC 2653C, IAB 8/3/16)</w:t>
      </w:r>
      <w:r>
        <w:rPr>
          <w:rFonts w:ascii="Times New Roman" w:hAnsi="Times New Roman"/>
          <w:b w:val="false"/>
          <w:i w:val="false"/>
          <w:color w:val="000000"/>
          <w:sz w:val="21"/>
        </w:rPr>
        <w:t>, IAB 10/12/16, effective 11/16/16]</w:t>
      </w:r>
    </w:p>
    <w:p>
      <w:pPr>
        <w:spacing w:before="0" w:after="0"/>
        <w:ind w:left="120"/>
        <w:jc w:val="center"/>
      </w:pPr>
      <w:r>
        <w:rPr>
          <w:rFonts w:ascii="Times New Roman" w:hAnsi="Times New Roman"/>
          <w:b w:val="false"/>
          <w:i w:val="false"/>
          <w:color w:val="000000"/>
          <w:sz w:val="21"/>
        </w:rPr>
        <w:t>[Filed ARC 0204D</w:t>
      </w:r>
      <w:r>
        <w:rPr>
          <w:rFonts w:ascii="Times New Roman" w:hAnsi="Times New Roman"/>
          <w:b w:val="false"/>
          <w:i w:val="false"/>
          <w:color w:val="000000"/>
          <w:sz w:val="21"/>
        </w:rPr>
        <w:t xml:space="preserve"> (Notice ARC 9975C, IAB 1/21/26)</w:t>
      </w:r>
      <w:r>
        <w:rPr>
          <w:rFonts w:ascii="Times New Roman" w:hAnsi="Times New Roman"/>
          <w:b w:val="false"/>
          <w:i w:val="false"/>
          <w:color w:val="000000"/>
          <w:sz w:val="21"/>
        </w:rPr>
        <w:t>, IAB 4/15/26, effective 5/20/26]</w:t>
      </w:r>
    </w:p>
    <w:p>
      <w:pPr>
        <w:pBdr>
          <w:bottom w:space="2"/>
        </w:pBdr>
        <w:spacing w:before="0" w:after="0"/>
        <w:ind w:left="120"/>
        <w:jc w:val="both"/>
      </w:pPr>
      <w:r>
        <w:rPr>
          <w:rFonts w:ascii="Times New Roman" w:hAnsi="Times New Roman"/>
          <w:b w:val="false"/>
          <w:i w:val="false"/>
          <w:color w:val="000000"/>
          <w:sz w:val="22"/>
        </w:rPr>
        <w:t>History transferred from 261—Chapter 42 IAC 1/4/95.</w:t>
      </w:r>
    </w:p>
    <w:sectPr>
      <w:footerReference r:id="rId9"/>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105.pdf" Type="http://schemas.openxmlformats.org/officeDocument/2006/relationships/hyperlink" Id="rId5"/>
    <Relationship TargetMode="External" Target="https://www.legis.iowa.gov/docs/iac/rule/261.39.5.pdf" Type="http://schemas.openxmlformats.org/officeDocument/2006/relationships/hyperlink" Id="rId6"/>
    <Relationship TargetMode="External" Target="https://www.legis.iowa.gov/docs/ico/chapter/15.106A.pdf" Type="http://schemas.openxmlformats.org/officeDocument/2006/relationships/hyperlink" Id="rId7"/>
    <Relationship TargetMode="External" Target="https://www.legis.iowa.gov/docs/ico/chapter/15.108.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