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DOWNTOWN LOAN GUARANTEE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261—36.1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“Authority’s website”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information and related content found at </w:t>
      </w:r>
      <w:hyperlink r:id="rId6">
        <w:r>
          <w:rPr>
            <w:rStyle w:val="Hyperlink"/>
            <w:rFonts w:ascii="Times New Roman" w:hAnsi="Times New Roman"/>
            <w:b w:val="false"/>
            <w:i w:val="false"/>
            <w:color w:val="000000"/>
            <w:sz w:val="22"/>
            <w:u w:val="single"/>
          </w:rPr>
          <w:t>www.opportunityiowa.gov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“Borrower”</w:t>
      </w:r>
      <w:r>
        <w:rPr>
          <w:rFonts w:ascii="Times New Roman" w:hAnsi="Times New Roman"/>
          <w:b w:val="false"/>
          <w:i w:val="false"/>
          <w:color w:val="000000"/>
          <w:sz w:val="22"/>
        </w:rPr>
        <w:t> </w:t>
      </w:r>
      <w:r>
        <w:rPr>
          <w:rFonts w:ascii="Times New Roman" w:hAnsi="Times New Roman"/>
          <w:b w:val="false"/>
          <w:i w:val="false"/>
          <w:color w:val="000000"/>
          <w:sz w:val="22"/>
        </w:rPr>
        <w:t>means a business that is approved for a loan by a lender and that has applied for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finance 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public instrumentality and agency of the state created by Iowa Code section </w:t>
      </w:r>
      <w:hyperlink r:id="rId7">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“Lender”</w:t>
      </w:r>
      <w:r>
        <w:rPr>
          <w:rFonts w:ascii="Times New Roman" w:hAnsi="Times New Roman"/>
          <w:b w:val="false"/>
          <w:i w:val="false"/>
          <w:color w:val="000000"/>
          <w:sz w:val="22"/>
        </w:rPr>
        <w:t> </w:t>
      </w:r>
      <w:r>
        <w:rPr>
          <w:rFonts w:ascii="Times New Roman" w:hAnsi="Times New Roman"/>
          <w:b w:val="false"/>
          <w:i w:val="false"/>
          <w:color w:val="000000"/>
          <w:sz w:val="22"/>
        </w:rPr>
        <w:t>means a federally insured financial lending institution that issued a loan to a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downtown loan guarantee program established pursuant to Iowa Code section </w:t>
      </w:r>
      <w:hyperlink r:id="rId8">
        <w:r>
          <w:rPr>
            <w:rStyle w:val="Hyperlink"/>
            <w:rFonts w:ascii="Times New Roman" w:hAnsi="Times New Roman"/>
            <w:b w:val="false"/>
            <w:i w:val="false"/>
            <w:color w:val="000000"/>
            <w:sz w:val="22"/>
          </w:rPr>
          <w:t>15.431</w:t>
        </w:r>
      </w:hyperlink>
      <w:r>
        <w:rPr>
          <w:rFonts w:ascii="Times New Roman" w:hAnsi="Times New Roman"/>
          <w:b w:val="false"/>
          <w:i w:val="false"/>
          <w:color w:val="000000"/>
          <w:sz w:val="22"/>
        </w:rPr>
        <w:t xml:space="preserv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261—36.2</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w:t>
      </w:r>
      <w:r>
        <w:rPr>
          <w:rFonts w:ascii="Times New Roman" w:hAnsi="Times New Roman"/>
          <w:b w:val="false"/>
          <w:i w:val="false"/>
          <w:color w:val="000000"/>
          <w:sz w:val="22"/>
        </w:rPr>
        <w:t xml:space="preserve">To be eligible for approval of a loan guarantee, a borrower must demonstrate that all conditions in Iowa Code section </w:t>
      </w:r>
      <w:hyperlink r:id="rId9">
        <w:r>
          <w:rPr>
            <w:rStyle w:val="Hyperlink"/>
            <w:rFonts w:ascii="Times New Roman" w:hAnsi="Times New Roman"/>
            <w:b w:val="false"/>
            <w:i w:val="false"/>
            <w:color w:val="000000"/>
            <w:sz w:val="22"/>
          </w:rPr>
          <w:t>15.431(2)</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261—36.3</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val="false"/>
          <w:color w:val="000000"/>
          <w:sz w:val="22"/>
        </w:rPr>
        <w:t>To apply for assistance under the program, the borrower and lender shall submit an application to the authority in the manner prescribed by the authority. Applications will be accepted and processed by authority staff on a continuing basis, or the authority may establish application periods as announced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val="false"/>
          <w:color w:val="000000"/>
          <w:sz w:val="22"/>
        </w:rPr>
        <w:t>The application will include, at a minimum, the following: name(s) and address(es) of the borrower and participating lender, amount of loan, amount of loan guarantee requested, and certification of compliance with state law and lending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36.3(3)</w:t>
      </w:r>
      <w:r>
        <w:rPr>
          <w:rFonts w:ascii="Times New Roman" w:hAnsi="Times New Roman"/>
          <w:b w:val="false"/>
          <w:i w:val="false"/>
          <w:color w:val="000000"/>
          <w:sz w:val="22"/>
        </w:rPr>
        <w:t> </w:t>
      </w:r>
      <w:r>
        <w:rPr>
          <w:rFonts w:ascii="Times New Roman" w:hAnsi="Times New Roman"/>
          <w:b w:val="false"/>
          <w:i w:val="false"/>
          <w:color w:val="000000"/>
          <w:sz w:val="22"/>
        </w:rPr>
        <w:t>The authority may refuse to accept incomplete or ineligible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36.3(4)</w:t>
      </w:r>
      <w:r>
        <w:rPr>
          <w:rFonts w:ascii="Times New Roman" w:hAnsi="Times New Roman"/>
          <w:b w:val="false"/>
          <w:i w:val="false"/>
          <w:color w:val="000000"/>
          <w:sz w:val="22"/>
        </w:rPr>
        <w:t> </w:t>
      </w:r>
      <w:r>
        <w:rPr>
          <w:rFonts w:ascii="Times New Roman" w:hAnsi="Times New Roman"/>
          <w:b w:val="false"/>
          <w:i w:val="false"/>
          <w:color w:val="000000"/>
          <w:sz w:val="22"/>
        </w:rPr>
        <w:t>The authority may refuse to accept applications because of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36.3(5)</w:t>
      </w:r>
      <w:r>
        <w:rPr>
          <w:rFonts w:ascii="Times New Roman" w:hAnsi="Times New Roman"/>
          <w:b w:val="false"/>
          <w:i w:val="false"/>
          <w:color w:val="000000"/>
          <w:sz w:val="22"/>
        </w:rPr>
        <w:t> </w:t>
      </w:r>
      <w:r>
        <w:rPr>
          <w:rFonts w:ascii="Times New Roman" w:hAnsi="Times New Roman"/>
          <w:b w:val="false"/>
          <w:i w:val="false"/>
          <w:color w:val="000000"/>
          <w:sz w:val="22"/>
        </w:rPr>
        <w:t>Authority staff, in conjunction with Iowa finance authority staff, will review applications and make a recommendation as to whether an application should be approved and the guarantee percentage. The director may approve, deny, or defer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261—36.4</w:t>
      </w:r>
      <w:r>
        <w:rPr>
          <w:rFonts w:ascii="Times New Roman" w:hAnsi="Times New Roman"/>
          <w:b/>
          <w:i w:val="false"/>
          <w:color w:val="000000"/>
          <w:sz w:val="22"/>
        </w:rPr>
        <w:t xml:space="preserve">(15) </w:t>
      </w:r>
      <w:r>
        <w:rPr>
          <w:rFonts w:ascii="Times New Roman" w:hAnsi="Times New Roman"/>
          <w:b/>
          <w:i w:val="false"/>
          <w:color w:val="000000"/>
          <w:sz w:val="22"/>
        </w:rPr>
        <w:t xml:space="preserve">Loan guarantee limitations. </w:t>
      </w:r>
      <w:r>
        <w:rPr>
          <w:rFonts w:ascii="Times New Roman" w:hAnsi="Times New Roman"/>
          <w:b w:val="false"/>
          <w:i w:val="false"/>
          <w:color w:val="000000"/>
          <w:sz w:val="22"/>
        </w:rPr>
        <w:t xml:space="preserve">Loan guarantees are subject to the limitations in Iowa Code section </w:t>
      </w:r>
      <w:hyperlink r:id="rId10">
        <w:r>
          <w:rPr>
            <w:rStyle w:val="Hyperlink"/>
            <w:rFonts w:ascii="Times New Roman" w:hAnsi="Times New Roman"/>
            <w:b w:val="false"/>
            <w:i w:val="false"/>
            <w:color w:val="000000"/>
            <w:sz w:val="22"/>
          </w:rPr>
          <w:t>15.431(3)</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15.431(10)</w:t>
        </w:r>
      </w:hyperlink>
      <w:r>
        <w:rPr>
          <w:rFonts w:ascii="Times New Roman" w:hAnsi="Times New Roman"/>
          <w:b w:val="false"/>
          <w:i w:val="false"/>
          <w:color w:val="000000"/>
          <w:sz w:val="22"/>
        </w:rPr>
        <w:t>. Extensions are subject to approval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261—36.5</w:t>
      </w:r>
      <w:r>
        <w:rPr>
          <w:rFonts w:ascii="Times New Roman" w:hAnsi="Times New Roman"/>
          <w:b/>
          <w:i w:val="false"/>
          <w:color w:val="000000"/>
          <w:sz w:val="22"/>
        </w:rPr>
        <w:t xml:space="preserve">(15) </w:t>
      </w:r>
      <w:r>
        <w:rPr>
          <w:rFonts w:ascii="Times New Roman" w:hAnsi="Times New Roman"/>
          <w:b/>
          <w:i w:val="false"/>
          <w:color w:val="000000"/>
          <w:sz w:val="22"/>
        </w:rPr>
        <w:t xml:space="preserve">Annual fee. </w:t>
      </w:r>
      <w:r>
        <w:rPr>
          <w:rFonts w:ascii="Times New Roman" w:hAnsi="Times New Roman"/>
          <w:b w:val="false"/>
          <w:i w:val="false"/>
          <w:color w:val="000000"/>
          <w:sz w:val="22"/>
        </w:rPr>
        <w:t xml:space="preserve">The lender shall pay an annual loan guarantee fee not to exceed 2 percent of the loan amount for the duration of the loan guarantee. The fee applicable to each approved loan guarantee will be established by the program agreement executed pursuant to rule </w:t>
      </w:r>
      <w:hyperlink r:id="rId12">
        <w:r>
          <w:rPr>
            <w:rStyle w:val="Hyperlink"/>
            <w:rFonts w:ascii="Times New Roman" w:hAnsi="Times New Roman"/>
            <w:b w:val="false"/>
            <w:i w:val="false"/>
            <w:color w:val="000000"/>
            <w:sz w:val="22"/>
          </w:rPr>
          <w:t>261—36.6</w:t>
        </w:r>
      </w:hyperlink>
      <w:r>
        <w:rPr>
          <w:rFonts w:ascii="Times New Roman" w:hAnsi="Times New Roman"/>
          <w:b w:val="false"/>
          <w:i w:val="false"/>
          <w:color w:val="000000"/>
          <w:sz w:val="22"/>
        </w:rPr>
        <w:t>(15).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261—36.6</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 </w:t>
      </w:r>
      <w:r>
        <w:rPr>
          <w:rFonts w:ascii="Times New Roman" w:hAnsi="Times New Roman"/>
          <w:b w:val="false"/>
          <w:i w:val="false"/>
          <w:color w:val="000000"/>
          <w:sz w:val="22"/>
        </w:rPr>
        <w:t xml:space="preserve">Upon approval of an award, authority staff will prepare an agreement between the authority, the lender, and the borrower. The agreement, at a minimum, shall include the conditions of the award, including the applicable annual fee to be paid by the lender pursuant to rule </w:t>
      </w:r>
      <w:hyperlink r:id="rId13">
        <w:r>
          <w:rPr>
            <w:rStyle w:val="Hyperlink"/>
            <w:rFonts w:ascii="Times New Roman" w:hAnsi="Times New Roman"/>
            <w:b w:val="false"/>
            <w:i w:val="false"/>
            <w:color w:val="000000"/>
            <w:sz w:val="22"/>
          </w:rPr>
          <w:t>261—36.5</w:t>
        </w:r>
      </w:hyperlink>
      <w:r>
        <w:rPr>
          <w:rFonts w:ascii="Times New Roman" w:hAnsi="Times New Roman"/>
          <w:b w:val="false"/>
          <w:i w:val="false"/>
          <w:color w:val="000000"/>
          <w:sz w:val="22"/>
        </w:rPr>
        <w:t>(15), the guarantee percentage, the responsibilities of each party, and the potential actions in instances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261—36.7</w:t>
      </w:r>
      <w:r>
        <w:rPr>
          <w:rFonts w:ascii="Times New Roman" w:hAnsi="Times New Roman"/>
          <w:b/>
          <w:i w:val="false"/>
          <w:color w:val="000000"/>
          <w:sz w:val="22"/>
        </w:rPr>
        <w:t xml:space="preserve">(15) </w:t>
      </w:r>
      <w:r>
        <w:rPr>
          <w:rFonts w:ascii="Times New Roman" w:hAnsi="Times New Roman"/>
          <w:b/>
          <w:i w:val="false"/>
          <w:color w:val="000000"/>
          <w:sz w:val="22"/>
        </w:rPr>
        <w:t xml:space="preserve">Reporting. </w:t>
      </w:r>
      <w:r>
        <w:rPr>
          <w:rFonts w:ascii="Times New Roman" w:hAnsi="Times New Roman"/>
          <w:b w:val="false"/>
          <w:i w:val="false"/>
          <w:color w:val="000000"/>
          <w:sz w:val="22"/>
        </w:rPr>
        <w:t>The borrower and lender shall submit any information reasonably requested by the authority in sufficient detail to permit the authority to prepare any reports required by the authority, the authority board,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15.431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6134C</w:t>
      </w:r>
      <w:r>
        <w:rPr>
          <w:rFonts w:ascii="Times New Roman" w:hAnsi="Times New Roman"/>
          <w:b w:val="false"/>
          <w:i w:val="false"/>
          <w:color w:val="000000"/>
          <w:sz w:val="21"/>
        </w:rPr>
        <w:t xml:space="preserve"> (Notice ARC 5984C, IAB 10/20/21)</w:t>
      </w:r>
      <w:r>
        <w:rPr>
          <w:rFonts w:ascii="Times New Roman" w:hAnsi="Times New Roman"/>
          <w:b w:val="false"/>
          <w:i w:val="false"/>
          <w:color w:val="000000"/>
          <w:sz w:val="21"/>
        </w:rPr>
        <w:t>, IAB 1/12/22, effective 12/17/21]</w:t>
      </w:r>
    </w:p>
    <w:p>
      <w:pPr>
        <w:spacing w:before="0" w:after="0"/>
        <w:ind w:left="120"/>
        <w:jc w:val="center"/>
      </w:pPr>
      <w:r>
        <w:rPr>
          <w:rFonts w:ascii="Times New Roman" w:hAnsi="Times New Roman"/>
          <w:b w:val="false"/>
          <w:i w:val="false"/>
          <w:color w:val="000000"/>
          <w:sz w:val="21"/>
        </w:rPr>
        <w:t>[Filed ARC 0203D</w:t>
      </w:r>
      <w:r>
        <w:rPr>
          <w:rFonts w:ascii="Times New Roman" w:hAnsi="Times New Roman"/>
          <w:b w:val="false"/>
          <w:i w:val="false"/>
          <w:color w:val="000000"/>
          <w:sz w:val="21"/>
        </w:rPr>
        <w:t xml:space="preserve"> (Notice ARC 9976C, IAB 1/21/26)</w:t>
      </w:r>
      <w:r>
        <w:rPr>
          <w:rFonts w:ascii="Times New Roman" w:hAnsi="Times New Roman"/>
          <w:b w:val="false"/>
          <w:i w:val="false"/>
          <w:color w:val="000000"/>
          <w:sz w:val="21"/>
        </w:rPr>
        <w:t>, IAB 4/15/26, effective 5/20/26]</w:t>
      </w:r>
    </w:p>
    <w:sectPr>
      <w:footerReference r:id="rId15"/>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www.opportunityiowa.gov" Type="http://schemas.openxmlformats.org/officeDocument/2006/relationships/hyperlink" Id="rId6"/>
    <Relationship TargetMode="External" Target="https://www.legis.iowa.gov/docs/ico/chapter/16.1A.pdf" Type="http://schemas.openxmlformats.org/officeDocument/2006/relationships/hyperlink" Id="rId7"/>
    <Relationship TargetMode="External" Target="https://www.legis.iowa.gov/docs/ico/chapter/15.431.pdf" Type="http://schemas.openxmlformats.org/officeDocument/2006/relationships/hyperlink" Id="rId8"/>
    <Relationship TargetMode="External" Target="https://www.legis.iowa.gov/docs/ico/chapter/15.431.pdf" Type="http://schemas.openxmlformats.org/officeDocument/2006/relationships/hyperlink" Id="rId9"/>
    <Relationship TargetMode="External" Target="https://www.legis.iowa.gov/docs/ico/chapter/15.431.pdf" Type="http://schemas.openxmlformats.org/officeDocument/2006/relationships/hyperlink" Id="rId10"/>
    <Relationship TargetMode="External" Target="https://www.legis.iowa.gov/docs/ico/chapter/15.431.pdf" Type="http://schemas.openxmlformats.org/officeDocument/2006/relationships/hyperlink" Id="rId11"/>
    <Relationship TargetMode="External" Target="https://www.legis.iowa.gov/docs/iac/rule/261.36.6.pdf" Type="http://schemas.openxmlformats.org/officeDocument/2006/relationships/hyperlink" Id="rId12"/>
    <Relationship TargetMode="External" Target="https://www.legis.iowa.gov/docs/iac/rule/261.36.5.pdf" Type="http://schemas.openxmlformats.org/officeDocument/2006/relationships/hyperlink" Id="rId13"/>
    <Relationship TargetMode="External" Target="https://www.legis.iowa.gov/docs/ico/chapter/15.431.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