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308</w:t>
      </w:r>
    </w:p>
    <w:p>
      <w:pPr>
        <w:spacing w:before="0" w:after="0"/>
        <w:ind w:left="120"/>
        <w:jc w:val="center"/>
      </w:pPr>
      <w:r>
        <w:rPr>
          <w:rFonts w:ascii="Times New Roman" w:hAnsi="Times New Roman"/>
          <w:b w:val="false"/>
          <w:i w:val="false"/>
          <w:color w:val="000000"/>
          <w:sz w:val="21"/>
        </w:rPr>
        <w:t>IOWA ARTS COUNCIL SCHOLARSHIP FOR THE ARTS</w:t>
      </w:r>
    </w:p>
    <w:p>
      <w:pPr>
        <w:spacing w:before="0" w:after="0"/>
        <w:ind w:left="120"/>
        <w:jc w:val="center"/>
      </w:pPr>
      <w:r>
        <w:rPr>
          <w:rFonts w:ascii="Times New Roman" w:hAnsi="Times New Roman"/>
          <w:b w:val="false"/>
          <w:i w:val="false"/>
          <w:color w:val="000000"/>
          <w:sz w:val="14"/>
        </w:rPr>
        <w:t>[Prior to 11/15/23, see Arts Division[222]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261—308.1</w:t>
      </w:r>
      <w:r>
        <w:rPr>
          <w:rFonts w:ascii="Times New Roman" w:hAnsi="Times New Roman"/>
          <w:b/>
          <w:i w:val="false"/>
          <w:color w:val="000000"/>
          <w:sz w:val="22"/>
        </w:rPr>
        <w:t xml:space="preserve">(15) </w:t>
      </w:r>
      <w:r>
        <w:rPr>
          <w:rFonts w:ascii="Times New Roman" w:hAnsi="Times New Roman"/>
          <w:b/>
          <w:i w:val="false"/>
          <w:color w:val="000000"/>
          <w:sz w:val="22"/>
        </w:rPr>
        <w:t xml:space="preserve">Iowa arts council scholarship for the arts. </w:t>
      </w:r>
      <w:r>
        <w:rPr>
          <w:rFonts w:ascii="Times New Roman" w:hAnsi="Times New Roman"/>
          <w:b w:val="false"/>
          <w:i w:val="false"/>
          <w:color w:val="000000"/>
          <w:sz w:val="22"/>
        </w:rPr>
        <w:t>The Iowa arts council scholarship for the arts supports the development of outstanding high school seniors who excel in the arts and are enrolled in accredited educational programs leading to careers in the arts. A limited number of scholarships are awarded annually to selected students for undergraduate tuition and related expenses to attend an Iowa college or university.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261—308.2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listed in Iowa Code section </w:t>
      </w:r>
      <w:hyperlink r:id="rId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261—Chapter 304</w:t>
        </w:r>
      </w:hyperlink>
      <w:r>
        <w:rPr>
          <w:rFonts w:ascii="Times New Roman" w:hAnsi="Times New Roman"/>
          <w:b w:val="false"/>
          <w:i w:val="false"/>
          <w:color w:val="000000"/>
          <w:sz w:val="22"/>
        </w:rPr>
        <w:t xml:space="preserve"> shall apply for terms as they are used throughout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261—308.3</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w:t>
      </w:r>
      <w:r>
        <w:rPr>
          <w:rFonts w:ascii="Times New Roman" w:hAnsi="Times New Roman"/>
          <w:b w:val="false"/>
          <w:i w:val="false"/>
          <w:color w:val="000000"/>
          <w:sz w:val="22"/>
        </w:rPr>
        <w:t>An applicant, at the time of application, must be enrolled at the senior class level in an Iowa high school and display proven artistic ability in the area of music, dance, visual arts, theatre, folklife or literature. Prior to issuance of funds, a scholarship recipient must be accepted as a full-time undergraduate student majoring in one or more of the named areas of study at a fully accredited Iowa college or university.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261—308.4</w:t>
      </w:r>
      <w:r>
        <w:rPr>
          <w:rFonts w:ascii="Times New Roman" w:hAnsi="Times New Roman"/>
          <w:b/>
          <w:i w:val="false"/>
          <w:color w:val="000000"/>
          <w:sz w:val="22"/>
        </w:rPr>
        <w:t xml:space="preserve">(15) </w:t>
      </w:r>
      <w:r>
        <w:rPr>
          <w:rFonts w:ascii="Times New Roman" w:hAnsi="Times New Roman"/>
          <w:b/>
          <w:i w:val="false"/>
          <w:color w:val="000000"/>
          <w:sz w:val="22"/>
        </w:rPr>
        <w:t xml:space="preserve">Formal application process. </w:t>
      </w:r>
      <w:r>
        <w:rPr>
          <w:rFonts w:ascii="Times New Roman" w:hAnsi="Times New Roman"/>
          <w:b w:val="false"/>
          <w:i w:val="false"/>
          <w:color w:val="000000"/>
          <w:sz w:val="22"/>
        </w:rPr>
        <w:t>A formal application shall be made on an official form published by the authority. A finalist candidate shall participate in a personal interview with an advisory panel. A finalist candidate is required to attend the personal interview at the candidate’s own expense. A finalist candidate unable to attend the personal interview shall not be considered eligible to receive a scholarship.</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261—308.5</w:t>
      </w:r>
      <w:r>
        <w:rPr>
          <w:rFonts w:ascii="Times New Roman" w:hAnsi="Times New Roman"/>
          <w:b/>
          <w:i w:val="false"/>
          <w:color w:val="000000"/>
          <w:sz w:val="22"/>
        </w:rPr>
        <w:t xml:space="preserve">(15) </w:t>
      </w:r>
      <w:r>
        <w:rPr>
          <w:rFonts w:ascii="Times New Roman" w:hAnsi="Times New Roman"/>
          <w:b/>
          <w:i w:val="false"/>
          <w:color w:val="000000"/>
          <w:sz w:val="22"/>
        </w:rPr>
        <w:t xml:space="preserve">Deadline. </w:t>
      </w:r>
      <w:r>
        <w:rPr>
          <w:rFonts w:ascii="Times New Roman" w:hAnsi="Times New Roman"/>
          <w:b w:val="false"/>
          <w:i w:val="false"/>
          <w:color w:val="000000"/>
          <w:sz w:val="22"/>
        </w:rPr>
        <w:t>An application shall be due in accordance with the deadline published in the program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261—308.6</w:t>
      </w:r>
      <w:r>
        <w:rPr>
          <w:rFonts w:ascii="Times New Roman" w:hAnsi="Times New Roman"/>
          <w:b/>
          <w:i w:val="false"/>
          <w:color w:val="000000"/>
          <w:sz w:val="22"/>
        </w:rPr>
        <w:t xml:space="preserve">(15) </w:t>
      </w:r>
      <w:r>
        <w:rPr>
          <w:rFonts w:ascii="Times New Roman" w:hAnsi="Times New Roman"/>
          <w:b/>
          <w:i w:val="false"/>
          <w:color w:val="000000"/>
          <w:sz w:val="22"/>
        </w:rPr>
        <w:t xml:space="preserve">Review criteria. </w:t>
      </w:r>
      <w:r>
        <w:rPr>
          <w:rFonts w:ascii="Times New Roman" w:hAnsi="Times New Roman"/>
          <w:b w:val="false"/>
          <w:i w:val="false"/>
          <w:color w:val="000000"/>
          <w:sz w:val="22"/>
        </w:rPr>
        <w:t>Review criteria shall be in accordance with published program guidelines.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261—308.7</w:t>
      </w:r>
      <w:r>
        <w:rPr>
          <w:rFonts w:ascii="Times New Roman" w:hAnsi="Times New Roman"/>
          <w:b/>
          <w:i w:val="false"/>
          <w:color w:val="000000"/>
          <w:sz w:val="22"/>
        </w:rPr>
        <w:t xml:space="preserve">(15) </w:t>
      </w:r>
      <w:r>
        <w:rPr>
          <w:rFonts w:ascii="Times New Roman" w:hAnsi="Times New Roman"/>
          <w:b/>
          <w:i w:val="false"/>
          <w:color w:val="000000"/>
          <w:sz w:val="22"/>
        </w:rPr>
        <w:t xml:space="preserve">Obligation of recipients. </w:t>
      </w:r>
      <w:r>
        <w:rPr>
          <w:rFonts w:ascii="Times New Roman" w:hAnsi="Times New Roman"/>
          <w:b w:val="false"/>
          <w:i w:val="false"/>
          <w:color w:val="000000"/>
          <w:sz w:val="22"/>
        </w:rPr>
        <w:t>Scholarship recipients shall inform the authority of any change in address or school enrollment.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261—308.8</w:t>
      </w:r>
      <w:r>
        <w:rPr>
          <w:rFonts w:ascii="Times New Roman" w:hAnsi="Times New Roman"/>
          <w:b/>
          <w:i w:val="false"/>
          <w:color w:val="000000"/>
          <w:sz w:val="22"/>
        </w:rPr>
        <w:t xml:space="preserve">(15) </w:t>
      </w:r>
      <w:r>
        <w:rPr>
          <w:rFonts w:ascii="Times New Roman" w:hAnsi="Times New Roman"/>
          <w:b/>
          <w:i w:val="false"/>
          <w:color w:val="000000"/>
          <w:sz w:val="22"/>
        </w:rPr>
        <w:t xml:space="preserve">Notification process. </w:t>
      </w:r>
      <w:r>
        <w:rPr>
          <w:rFonts w:ascii="Times New Roman" w:hAnsi="Times New Roman"/>
          <w:b w:val="false"/>
          <w:i w:val="false"/>
          <w:color w:val="000000"/>
          <w:sz w:val="22"/>
        </w:rPr>
        <w:t>An applicant shall be notified of scholarship selections within 30 days of the student interview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261—308.9</w:t>
      </w:r>
      <w:r>
        <w:rPr>
          <w:rFonts w:ascii="Times New Roman" w:hAnsi="Times New Roman"/>
          <w:b/>
          <w:i w:val="false"/>
          <w:color w:val="000000"/>
          <w:sz w:val="22"/>
        </w:rPr>
        <w:t xml:space="preserve">(15)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denied scholarship funding may appeal the decision in accordance with procedures as outlined in </w:t>
      </w:r>
      <w:hyperlink r:id="rId7">
        <w:r>
          <w:rPr>
            <w:rStyle w:val="Hyperlink"/>
            <w:rFonts w:ascii="Times New Roman" w:hAnsi="Times New Roman"/>
            <w:b w:val="false"/>
            <w:i w:val="false"/>
            <w:color w:val="000000"/>
            <w:sz w:val="22"/>
          </w:rPr>
          <w:t>261—subrules 305.3(18)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305.3(19)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15.465 to 15.467 as transferred by </w:t>
      </w:r>
      <w:r>
        <w:rPr>
          <w:rFonts w:ascii="Times New Roman" w:hAnsi="Times New Roman"/>
          <w:b w:val="false"/>
          <w:i w:val="false"/>
          <w:color w:val="000000"/>
          <w:sz w:val="22"/>
        </w:rPr>
        <w:t>2023 Iowa Acts, Senate File 514</w:t>
      </w:r>
      <w:r>
        <w:rPr>
          <w:rFonts w:ascii="Times New Roman" w:hAnsi="Times New Roman"/>
          <w:b w:val="false"/>
          <w:i w:val="false"/>
          <w:color w:val="000000"/>
          <w:sz w:val="22"/>
        </w:rPr>
        <w:t>, section 2125.</w:t>
      </w:r>
    </w:p>
    <w:p>
      <w:pPr>
        <w:spacing w:before="0" w:after="0"/>
        <w:ind w:left="120"/>
        <w:jc w:val="center"/>
      </w:pPr>
      <w:r>
        <w:rPr>
          <w:rFonts w:ascii="Times New Roman" w:hAnsi="Times New Roman"/>
          <w:b w:val="false"/>
          <w:i w:val="false"/>
          <w:color w:val="000000"/>
          <w:sz w:val="21"/>
        </w:rPr>
        <w:t>[Filed 4/24/02, Notice 3/20/02—published 5/15/02, effective 6/30/02]</w:t>
      </w:r>
    </w:p>
    <w:p>
      <w:pPr>
        <w:spacing w:before="0" w:after="0"/>
        <w:ind w:left="120"/>
        <w:jc w:val="center"/>
      </w:pPr>
      <w:r>
        <w:rPr>
          <w:rFonts w:ascii="Times New Roman" w:hAnsi="Times New Roman"/>
          <w:b w:val="false"/>
          <w:i w:val="false"/>
          <w:color w:val="000000"/>
          <w:sz w:val="21"/>
        </w:rPr>
        <w:t>[Filed 1/13/06, Notice 11/23/05—published 2/1/06, effective 3/8/06]</w:t>
      </w:r>
    </w:p>
    <w:p>
      <w:pPr>
        <w:spacing w:before="0" w:after="0"/>
        <w:ind w:left="120"/>
        <w:jc w:val="center"/>
      </w:pPr>
      <w:r>
        <w:rPr>
          <w:rFonts w:ascii="Times New Roman" w:hAnsi="Times New Roman"/>
          <w:b w:val="false"/>
          <w:i w:val="false"/>
          <w:color w:val="000000"/>
          <w:sz w:val="21"/>
        </w:rPr>
        <w:t>[Editorial change: IAC Supplement 11/15/23]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chapter/261.304.pdf" Type="http://schemas.openxmlformats.org/officeDocument/2006/relationships/hyperlink" Id="rId6"/>
    <Relationship TargetMode="External" Target="https://www.legis.iowa.gov/docs/iac/rule/261.305.3.pdf" Type="http://schemas.openxmlformats.org/officeDocument/2006/relationships/hyperlink" Id="rId7"/>
    <Relationship TargetMode="External" Target="https://www.legis.iowa.gov/docs/iac/rule/261.305.3.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