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307</w:t>
      </w:r>
    </w:p>
    <w:p>
      <w:pPr>
        <w:spacing w:before="0" w:after="0"/>
        <w:ind w:left="120"/>
        <w:jc w:val="center"/>
      </w:pPr>
      <w:r>
        <w:rPr>
          <w:rFonts w:ascii="Times New Roman" w:hAnsi="Times New Roman"/>
          <w:b w:val="false"/>
          <w:i w:val="false"/>
          <w:color w:val="000000"/>
          <w:sz w:val="21"/>
        </w:rPr>
        <w:t>PROJECT GRANT PROGRAMS</w:t>
      </w:r>
    </w:p>
    <w:p>
      <w:pPr>
        <w:spacing w:before="0" w:after="0"/>
        <w:ind w:left="120"/>
        <w:jc w:val="center"/>
      </w:pPr>
      <w:r>
        <w:rPr>
          <w:rFonts w:ascii="Times New Roman" w:hAnsi="Times New Roman"/>
          <w:b w:val="false"/>
          <w:i w:val="false"/>
          <w:color w:val="000000"/>
          <w:sz w:val="14"/>
        </w:rPr>
        <w:t>[Prior to 2/1/06, see 222—Chs 5, 8 and 10 to 13]</w:t>
      </w:r>
    </w:p>
    <w:p>
      <w:pPr>
        <w:spacing w:before="0" w:after="0"/>
        <w:ind w:left="120"/>
        <w:jc w:val="center"/>
      </w:pPr>
      <w:r>
        <w:rPr>
          <w:rFonts w:ascii="Times New Roman" w:hAnsi="Times New Roman"/>
          <w:b w:val="false"/>
          <w:i w:val="false"/>
          <w:color w:val="000000"/>
          <w:sz w:val="14"/>
        </w:rPr>
        <w:t>[Prior to 11/15/23, see Arts Division[222]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261—307.1</w:t>
      </w:r>
      <w:r>
        <w:rPr>
          <w:rFonts w:ascii="Times New Roman" w:hAnsi="Times New Roman"/>
          <w:b/>
          <w:i w:val="false"/>
          <w:color w:val="000000"/>
          <w:sz w:val="22"/>
        </w:rPr>
        <w:t xml:space="preserve">(15) </w:t>
      </w:r>
      <w:r>
        <w:rPr>
          <w:rFonts w:ascii="Times New Roman" w:hAnsi="Times New Roman"/>
          <w:b/>
          <w:i w:val="false"/>
          <w:color w:val="000000"/>
          <w:sz w:val="22"/>
        </w:rPr>
        <w:t xml:space="preserve">Project grant programs. </w:t>
      </w:r>
      <w:r>
        <w:rPr>
          <w:rFonts w:ascii="Times New Roman" w:hAnsi="Times New Roman"/>
          <w:b w:val="false"/>
          <w:i w:val="false"/>
          <w:color w:val="000000"/>
          <w:sz w:val="22"/>
        </w:rPr>
        <w:t>The authority project grant programs provide financial incentives to Iowa artists and individual arts educators; nonprofit and tax-exempt organizations; schools; area education agencies; local, county, state and federal governmental agencies; and tribal councils to support a wide variety of arts-related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261—307.2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261—Chapter 304</w:t>
        </w:r>
      </w:hyperlink>
      <w:r>
        <w:rPr>
          <w:rFonts w:ascii="Times New Roman" w:hAnsi="Times New Roman"/>
          <w:b w:val="false"/>
          <w:i w:val="false"/>
          <w:color w:val="000000"/>
          <w:sz w:val="22"/>
        </w:rPr>
        <w:t xml:space="preserve"> shall apply for terms as they are used throughout this chapter.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“Imagine Iowa 2010: A Cultural Vision” </w:t>
      </w:r>
      <w:r>
        <w:rPr>
          <w:rFonts w:ascii="Times New Roman" w:hAnsi="Times New Roman"/>
          <w:b w:val="false"/>
          <w:i w:val="false"/>
          <w:color w:val="000000"/>
          <w:sz w:val="22"/>
        </w:rPr>
        <w:t>means the strategic planning document for the department of cultural affairs.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261—307.3</w:t>
      </w:r>
      <w:r>
        <w:rPr>
          <w:rFonts w:ascii="Times New Roman" w:hAnsi="Times New Roman"/>
          <w:b/>
          <w:i w:val="false"/>
          <w:color w:val="000000"/>
          <w:sz w:val="22"/>
        </w:rPr>
        <w:t xml:space="preserve">(15) </w:t>
      </w:r>
      <w:r>
        <w:rPr>
          <w:rFonts w:ascii="Times New Roman" w:hAnsi="Times New Roman"/>
          <w:b/>
          <w:i w:val="false"/>
          <w:color w:val="000000"/>
          <w:sz w:val="22"/>
        </w:rPr>
        <w:t xml:space="preserve">Funding priorities. </w:t>
      </w:r>
      <w:r>
        <w:rPr>
          <w:rFonts w:ascii="Times New Roman" w:hAnsi="Times New Roman"/>
          <w:b w:val="false"/>
          <w:i w:val="false"/>
          <w:color w:val="000000"/>
          <w:sz w:val="22"/>
        </w:rPr>
        <w:t>The authority places a high priority on projects that have high-quality arts production or arts experiences at their center and on projects that advance the goals of Imagine Iowa 2010: A Cultural Vision. Additional funding priorities for individual grant programs are as listed in the authority’s published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261—307.4</w:t>
      </w:r>
      <w:r>
        <w:rPr>
          <w:rFonts w:ascii="Times New Roman" w:hAnsi="Times New Roman"/>
          <w:b/>
          <w:i w:val="false"/>
          <w:color w:val="000000"/>
          <w:sz w:val="22"/>
        </w:rPr>
        <w:t xml:space="preserve">(15) </w:t>
      </w:r>
      <w:r>
        <w:rPr>
          <w:rFonts w:ascii="Times New Roman" w:hAnsi="Times New Roman"/>
          <w:b/>
          <w:i w:val="false"/>
          <w:color w:val="000000"/>
          <w:sz w:val="22"/>
        </w:rPr>
        <w:t xml:space="preserve">Review criteria. </w:t>
      </w:r>
      <w:r>
        <w:rPr>
          <w:rFonts w:ascii="Times New Roman" w:hAnsi="Times New Roman"/>
          <w:b w:val="false"/>
          <w:i w:val="false"/>
          <w:color w:val="000000"/>
          <w:sz w:val="22"/>
        </w:rPr>
        <w:t>Review criteria for all project grant programs include artistic excellence and service to Iowans. Additional review criteria for individual project grant programs are as listed in the arts division’s published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261—307.5</w:t>
      </w:r>
      <w:r>
        <w:rPr>
          <w:rFonts w:ascii="Times New Roman" w:hAnsi="Times New Roman"/>
          <w:b/>
          <w:i w:val="false"/>
          <w:color w:val="000000"/>
          <w:sz w:val="22"/>
        </w:rPr>
        <w:t xml:space="preserve">(15) </w:t>
      </w:r>
      <w:r>
        <w:rPr>
          <w:rFonts w:ascii="Times New Roman" w:hAnsi="Times New Roman"/>
          <w:b/>
          <w:i w:val="false"/>
          <w:color w:val="000000"/>
          <w:sz w:val="22"/>
        </w:rPr>
        <w:t xml:space="preserve">Funding policies and procedures. </w:t>
      </w:r>
      <w:r>
        <w:rPr>
          <w:rFonts w:ascii="Times New Roman" w:hAnsi="Times New Roman"/>
          <w:b w:val="false"/>
          <w:i w:val="false"/>
          <w:color w:val="000000"/>
          <w:sz w:val="22"/>
        </w:rPr>
        <w:t xml:space="preserve">Authority project grant programs shall operate in accordance with funding policies and procedures described in </w:t>
      </w:r>
      <w:hyperlink r:id="rId7">
        <w:r>
          <w:rPr>
            <w:rStyle w:val="Hyperlink"/>
            <w:rFonts w:ascii="Times New Roman" w:hAnsi="Times New Roman"/>
            <w:b w:val="false"/>
            <w:i w:val="false"/>
            <w:color w:val="000000"/>
            <w:sz w:val="22"/>
          </w:rPr>
          <w:t>261—Chapter 305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15.465 to 15.467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4/24/02, Notice 3/20/02—published 5/15/02, effective 6/30/02]</w:t>
      </w:r>
    </w:p>
    <w:p>
      <w:pPr>
        <w:spacing w:before="0" w:after="0"/>
        <w:ind w:left="120"/>
        <w:jc w:val="center"/>
      </w:pPr>
      <w:r>
        <w:rPr>
          <w:rFonts w:ascii="Times New Roman" w:hAnsi="Times New Roman"/>
          <w:b w:val="false"/>
          <w:i w:val="false"/>
          <w:color w:val="000000"/>
          <w:sz w:val="21"/>
        </w:rPr>
        <w:t>[Filed 1/13/06, Notice 11/23/05—published 2/1/06, effective 3/8/06]</w:t>
      </w:r>
    </w:p>
    <w:p>
      <w:pPr>
        <w:spacing w:before="0" w:after="0"/>
        <w:ind w:left="120"/>
        <w:jc w:val="center"/>
      </w:pPr>
      <w:r>
        <w:rPr>
          <w:rFonts w:ascii="Times New Roman" w:hAnsi="Times New Roman"/>
          <w:b w:val="false"/>
          <w:i w:val="false"/>
          <w:color w:val="000000"/>
          <w:sz w:val="21"/>
        </w:rPr>
        <w:t>[Editorial change: IAC Supplement 11/15/23]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chapter/261.304.pdf" Type="http://schemas.openxmlformats.org/officeDocument/2006/relationships/hyperlink" Id="rId6"/>
    <Relationship TargetMode="External" Target="https://www.legis.iowa.gov/docs/iac/chapter/261.30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