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306</w:t>
      </w:r>
    </w:p>
    <w:p>
      <w:pPr>
        <w:spacing w:before="0" w:after="0"/>
        <w:ind w:left="120"/>
        <w:jc w:val="center"/>
      </w:pPr>
      <w:r>
        <w:rPr>
          <w:rFonts w:ascii="Times New Roman" w:hAnsi="Times New Roman"/>
          <w:b w:val="false"/>
          <w:i w:val="false"/>
          <w:color w:val="000000"/>
          <w:sz w:val="21"/>
        </w:rPr>
        <w:t>OPERATIONAL SUPPORT PARTNERSHIP PROGRAM FOR</w:t>
      </w:r>
      <w:r>
        <w:br/>
      </w:r>
      <w:r>
        <w:rPr>
          <w:rFonts w:ascii="Times New Roman" w:hAnsi="Times New Roman"/>
          <w:b w:val="false"/>
          <w:i w:val="false"/>
          <w:color w:val="000000"/>
          <w:sz w:val="21"/>
        </w:rPr>
        <w:t>MAJOR ARTS ORGANIZATIONS</w:t>
      </w:r>
    </w:p>
    <w:p>
      <w:pPr>
        <w:spacing w:before="0" w:after="0"/>
        <w:ind w:left="120"/>
        <w:jc w:val="center"/>
      </w:pPr>
      <w:r>
        <w:rPr>
          <w:rFonts w:ascii="Times New Roman" w:hAnsi="Times New Roman"/>
          <w:b w:val="false"/>
          <w:i w:val="false"/>
          <w:color w:val="000000"/>
          <w:sz w:val="14"/>
        </w:rPr>
        <w:t>[Prior to 2/1/06, see 222—Ch 6]</w:t>
      </w:r>
    </w:p>
    <w:p>
      <w:pPr>
        <w:spacing w:before="0" w:after="0"/>
        <w:ind w:left="120"/>
        <w:jc w:val="center"/>
      </w:pPr>
      <w:r>
        <w:rPr>
          <w:rFonts w:ascii="Times New Roman" w:hAnsi="Times New Roman"/>
          <w:b w:val="false"/>
          <w:i w:val="false"/>
          <w:color w:val="000000"/>
          <w:sz w:val="14"/>
        </w:rPr>
        <w:t>[Prior to 11/15/23, see Arts Division[222]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261—306.1</w:t>
      </w:r>
      <w:r>
        <w:rPr>
          <w:rFonts w:ascii="Times New Roman" w:hAnsi="Times New Roman"/>
          <w:b/>
          <w:i w:val="false"/>
          <w:color w:val="000000"/>
          <w:sz w:val="22"/>
        </w:rPr>
        <w:t xml:space="preserve">(15) </w:t>
      </w:r>
      <w:r>
        <w:rPr>
          <w:rFonts w:ascii="Times New Roman" w:hAnsi="Times New Roman"/>
          <w:b/>
          <w:i w:val="false"/>
          <w:color w:val="000000"/>
          <w:sz w:val="22"/>
        </w:rPr>
        <w:t xml:space="preserve">Operational support partnership program for major arts organizations. </w:t>
      </w:r>
      <w:r>
        <w:rPr>
          <w:rFonts w:ascii="Times New Roman" w:hAnsi="Times New Roman"/>
          <w:b w:val="false"/>
          <w:i w:val="false"/>
          <w:color w:val="000000"/>
          <w:sz w:val="22"/>
        </w:rPr>
        <w:t>The authority awards three-year funding support for the general operational expenses of major arts organizations with an exemplary track record of artistic and managerial excellence and community service to the citizens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261—Chapter 304</w:t>
        </w:r>
      </w:hyperlink>
      <w:r>
        <w:rPr>
          <w:rFonts w:ascii="Times New Roman" w:hAnsi="Times New Roman"/>
          <w:b w:val="false"/>
          <w:i w:val="false"/>
          <w:color w:val="000000"/>
          <w:sz w:val="22"/>
        </w:rPr>
        <w:t xml:space="preserve"> shall apply for terms as they are used throughout this chapter.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cycle” </w:t>
      </w:r>
      <w:r>
        <w:rPr>
          <w:rFonts w:ascii="Times New Roman" w:hAnsi="Times New Roman"/>
          <w:b w:val="false"/>
          <w:i w:val="false"/>
          <w:color w:val="000000"/>
          <w:sz w:val="22"/>
        </w:rPr>
        <w:t>means the three-year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year” </w:t>
      </w:r>
      <w:r>
        <w:rPr>
          <w:rFonts w:ascii="Times New Roman" w:hAnsi="Times New Roman"/>
          <w:b w:val="false"/>
          <w:i w:val="false"/>
          <w:color w:val="000000"/>
          <w:sz w:val="22"/>
        </w:rPr>
        <w:t>means July 1 through June 30 and shall coincide with the state of Iowa’s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“Strategic plan” </w:t>
      </w:r>
      <w:r>
        <w:rPr>
          <w:rFonts w:ascii="Times New Roman" w:hAnsi="Times New Roman"/>
          <w:b w:val="false"/>
          <w:i w:val="false"/>
          <w:color w:val="000000"/>
          <w:sz w:val="22"/>
        </w:rPr>
        <w:t>means a document developed and used by an organization to align its organization and budget structure with organizational priorities, mission,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one” </w:t>
      </w:r>
      <w:r>
        <w:rPr>
          <w:rFonts w:ascii="Times New Roman" w:hAnsi="Times New Roman"/>
          <w:b w:val="false"/>
          <w:i w:val="false"/>
          <w:color w:val="000000"/>
          <w:sz w:val="22"/>
        </w:rPr>
        <w:t>means the first fiscal year of the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“Year-round” </w:t>
      </w:r>
      <w:r>
        <w:rPr>
          <w:rFonts w:ascii="Times New Roman" w:hAnsi="Times New Roman"/>
          <w:b w:val="false"/>
          <w:i w:val="false"/>
          <w:color w:val="000000"/>
          <w:sz w:val="22"/>
        </w:rPr>
        <w:t>means the 12-month period of time in which an organization’s primary arts activities, arts programs or arts services are provided to the citizens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three” </w:t>
      </w:r>
      <w:r>
        <w:rPr>
          <w:rFonts w:ascii="Times New Roman" w:hAnsi="Times New Roman"/>
          <w:b w:val="false"/>
          <w:i w:val="false"/>
          <w:color w:val="000000"/>
          <w:sz w:val="22"/>
        </w:rPr>
        <w:t>means the third fiscal year of the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two” </w:t>
      </w:r>
      <w:r>
        <w:rPr>
          <w:rFonts w:ascii="Times New Roman" w:hAnsi="Times New Roman"/>
          <w:b w:val="false"/>
          <w:i w:val="false"/>
          <w:color w:val="000000"/>
          <w:sz w:val="22"/>
        </w:rPr>
        <w:t>means the second fiscal year of the funding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Applicants must meet all eligibility requirements for two continuous years prior to applying to the operational support partnership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306.3(1)</w:t>
      </w:r>
      <w:r>
        <w:rPr>
          <w:rFonts w:ascii="Times New Roman" w:hAnsi="Times New Roman"/>
          <w:b w:val="false"/>
          <w:i w:val="false"/>
          <w:color w:val="000000"/>
          <w:sz w:val="22"/>
        </w:rPr>
        <w:t> </w:t>
      </w:r>
      <w:r>
        <w:rPr>
          <w:rFonts w:ascii="Times New Roman" w:hAnsi="Times New Roman"/>
          <w:b w:val="false"/>
          <w:i w:val="false"/>
          <w:color w:val="000000"/>
          <w:sz w:val="22"/>
        </w:rPr>
        <w:t>An applicant’s primary mission and purpose shall be the 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306.3(2)</w:t>
      </w:r>
      <w:r>
        <w:rPr>
          <w:rFonts w:ascii="Times New Roman" w:hAnsi="Times New Roman"/>
          <w:b w:val="false"/>
          <w:i w:val="false"/>
          <w:color w:val="000000"/>
          <w:sz w:val="22"/>
        </w:rPr>
        <w:t> </w:t>
      </w:r>
      <w:r>
        <w:rPr>
          <w:rFonts w:ascii="Times New Roman" w:hAnsi="Times New Roman"/>
          <w:b w:val="false"/>
          <w:i w:val="false"/>
          <w:color w:val="000000"/>
          <w:sz w:val="22"/>
        </w:rPr>
        <w:t>An applicant shall be incorporated in Iowa under the Iowa nonprofit corporation Act and hold federal tax-exempt status, or be a department or division of an Iowa municipal government. An applicant may not use a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306.3(3)</w:t>
      </w:r>
      <w:r>
        <w:rPr>
          <w:rFonts w:ascii="Times New Roman" w:hAnsi="Times New Roman"/>
          <w:b w:val="false"/>
          <w:i w:val="false"/>
          <w:color w:val="000000"/>
          <w:sz w:val="22"/>
        </w:rPr>
        <w:t> </w:t>
      </w:r>
      <w:r>
        <w:rPr>
          <w:rFonts w:ascii="Times New Roman" w:hAnsi="Times New Roman"/>
          <w:b w:val="false"/>
          <w:i w:val="false"/>
          <w:color w:val="000000"/>
          <w:sz w:val="22"/>
        </w:rPr>
        <w:t>An applicant may be located in a border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306.3(4)</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an annual cash operating budget of at least $150,000.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306.3(5)</w:t>
      </w:r>
      <w:r>
        <w:rPr>
          <w:rFonts w:ascii="Times New Roman" w:hAnsi="Times New Roman"/>
          <w:b w:val="false"/>
          <w:i w:val="false"/>
          <w:color w:val="000000"/>
          <w:sz w:val="22"/>
        </w:rPr>
        <w:t> </w:t>
      </w:r>
      <w:r>
        <w:rPr>
          <w:rFonts w:ascii="Times New Roman" w:hAnsi="Times New Roman"/>
          <w:b w:val="false"/>
          <w:i w:val="false"/>
          <w:color w:val="000000"/>
          <w:sz w:val="22"/>
        </w:rPr>
        <w:t>An applicant shall operate year-round and provide arts programs and services year-round to the citizens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306.3(6)</w:t>
      </w:r>
      <w:r>
        <w:rPr>
          <w:rFonts w:ascii="Times New Roman" w:hAnsi="Times New Roman"/>
          <w:b w:val="false"/>
          <w:i w:val="false"/>
          <w:color w:val="000000"/>
          <w:sz w:val="22"/>
        </w:rPr>
        <w:t> </w:t>
      </w:r>
      <w:r>
        <w:rPr>
          <w:rFonts w:ascii="Times New Roman" w:hAnsi="Times New Roman"/>
          <w:b w:val="false"/>
          <w:i w:val="false"/>
          <w:color w:val="000000"/>
          <w:sz w:val="22"/>
        </w:rPr>
        <w:t>At least 50 percent of the individuals benefiting from an applicant’s programs and services must be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306.3(7)</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at least one paid staff member employed year-round and responsible for managing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306.3(8)</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a strategic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306.3(9)</w:t>
      </w:r>
      <w:r>
        <w:rPr>
          <w:rFonts w:ascii="Times New Roman" w:hAnsi="Times New Roman"/>
          <w:b w:val="false"/>
          <w:i w:val="false"/>
          <w:color w:val="000000"/>
          <w:sz w:val="22"/>
        </w:rPr>
        <w:t> </w:t>
      </w:r>
      <w:r>
        <w:rPr>
          <w:rFonts w:ascii="Times New Roman" w:hAnsi="Times New Roman"/>
          <w:b w:val="false"/>
          <w:i w:val="false"/>
          <w:color w:val="000000"/>
          <w:sz w:val="22"/>
        </w:rPr>
        <w:t>An applicant receiving operational support funding during fiscal year 2004 shall meet the eligibility requirements by fiscal year 2007 or be determined ineligible. Thereafter, an applicant must meet the eligibility requirements of the program. A new applicant shall meet the eligibility requirements at the time an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261—306.4</w:t>
      </w:r>
      <w:r>
        <w:rPr>
          <w:rFonts w:ascii="Times New Roman" w:hAnsi="Times New Roman"/>
          <w:b/>
          <w:i w:val="false"/>
          <w:color w:val="000000"/>
          <w:sz w:val="22"/>
        </w:rPr>
        <w:t xml:space="preserve">(15) </w:t>
      </w:r>
      <w:r>
        <w:rPr>
          <w:rFonts w:ascii="Times New Roman" w:hAnsi="Times New Roman"/>
          <w:b/>
          <w:i w:val="false"/>
          <w:color w:val="000000"/>
          <w:sz w:val="22"/>
        </w:rPr>
        <w:t xml:space="preserve">Cash match requirements. </w:t>
      </w:r>
      <w:r>
        <w:rPr>
          <w:rFonts w:ascii="Times New Roman" w:hAnsi="Times New Roman"/>
          <w:b w:val="false"/>
          <w:i w:val="false"/>
          <w:color w:val="000000"/>
          <w:sz w:val="22"/>
        </w:rPr>
        <w:t>An applicant shall be required to demonstrate evidence of ability to match the requested amount in cash. Cash match requirements shall be met automatically when an applicant’s operating budget contains nonfederal and nonauthority funds in excess of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261—306.5</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cycle. </w:t>
      </w:r>
      <w:r>
        <w:rPr>
          <w:rFonts w:ascii="Times New Roman" w:hAnsi="Times New Roman"/>
          <w:b w:val="false"/>
          <w:i w:val="false"/>
          <w:color w:val="000000"/>
          <w:sz w:val="22"/>
        </w:rPr>
        <w:t>The operational support partnership program shall operate on a three-year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261—306.6</w:t>
      </w:r>
      <w:r>
        <w:rPr>
          <w:rFonts w:ascii="Times New Roman" w:hAnsi="Times New Roman"/>
          <w:b/>
          <w:i w:val="false"/>
          <w:color w:val="000000"/>
          <w:sz w:val="22"/>
        </w:rPr>
        <w:t xml:space="preserve">(15) </w:t>
      </w:r>
      <w:r>
        <w:rPr>
          <w:rFonts w:ascii="Times New Roman" w:hAnsi="Times New Roman"/>
          <w:b/>
          <w:i w:val="false"/>
          <w:color w:val="000000"/>
          <w:sz w:val="22"/>
        </w:rPr>
        <w:t xml:space="preserve">Restrictions. </w:t>
      </w:r>
      <w:r>
        <w:rPr>
          <w:rFonts w:ascii="Times New Roman" w:hAnsi="Times New Roman"/>
          <w:b w:val="false"/>
          <w:i w:val="false"/>
          <w:color w:val="000000"/>
          <w:sz w:val="22"/>
        </w:rPr>
        <w:t>An applicant shall be limited to receiving additional grants from the authority or any of its divisions in accordance with restrictions that are incorporated into published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An application shall be reviewed using a process that is incorporated into published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261—306.8</w:t>
      </w:r>
      <w:r>
        <w:rPr>
          <w:rFonts w:ascii="Times New Roman" w:hAnsi="Times New Roman"/>
          <w:b/>
          <w:i w:val="false"/>
          <w:color w:val="000000"/>
          <w:sz w:val="22"/>
        </w:rPr>
        <w:t xml:space="preserve">(15) </w:t>
      </w:r>
      <w:r>
        <w:rPr>
          <w:rFonts w:ascii="Times New Roman" w:hAnsi="Times New Roman"/>
          <w:b/>
          <w:i w:val="false"/>
          <w:color w:val="000000"/>
          <w:sz w:val="22"/>
        </w:rPr>
        <w:t xml:space="preserve">Review criteria. </w:t>
      </w:r>
      <w:r>
        <w:rPr>
          <w:rFonts w:ascii="Times New Roman" w:hAnsi="Times New Roman"/>
          <w:b w:val="false"/>
          <w:i w:val="false"/>
          <w:color w:val="000000"/>
          <w:sz w:val="22"/>
        </w:rPr>
        <w:t>An application shall be reviewed using review criteria that are incorporated into published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261—306.9</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awards. </w:t>
      </w:r>
      <w:r>
        <w:rPr>
          <w:rFonts w:ascii="Times New Roman" w:hAnsi="Times New Roman"/>
          <w:b w:val="false"/>
          <w:i w:val="false"/>
          <w:color w:val="000000"/>
          <w:sz w:val="22"/>
        </w:rPr>
        <w:t xml:space="preserve">Awards shall be made in accordance with the procedures outlined in </w:t>
      </w:r>
      <w:hyperlink r:id="rId7">
        <w:r>
          <w:rPr>
            <w:rStyle w:val="Hyperlink"/>
            <w:rFonts w:ascii="Times New Roman" w:hAnsi="Times New Roman"/>
            <w:b w:val="false"/>
            <w:i w:val="false"/>
            <w:color w:val="000000"/>
            <w:sz w:val="22"/>
          </w:rPr>
          <w:t>261—subrules 305.3(12)</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305.3(17)</w:t>
        </w:r>
      </w:hyperlink>
      <w:r>
        <w:rPr>
          <w:rFonts w:ascii="Times New Roman" w:hAnsi="Times New Roman"/>
          <w:b w:val="false"/>
          <w:i w:val="false"/>
          <w:color w:val="000000"/>
          <w:sz w:val="22"/>
        </w:rPr>
        <w:t>. An award allocated to an applicant in year one of the funding cycle shall be maintained during year two and year three except in the case of a significant shift in the arts division’s annual state or federal appropriation.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261—306.10</w:t>
      </w:r>
      <w:r>
        <w:rPr>
          <w:rFonts w:ascii="Times New Roman" w:hAnsi="Times New Roman"/>
          <w:b/>
          <w:i w:val="false"/>
          <w:color w:val="000000"/>
          <w:sz w:val="22"/>
        </w:rPr>
        <w:t xml:space="preserve">(15) </w:t>
      </w:r>
      <w:r>
        <w:rPr>
          <w:rFonts w:ascii="Times New Roman" w:hAnsi="Times New Roman"/>
          <w:b/>
          <w:i w:val="false"/>
          <w:color w:val="000000"/>
          <w:sz w:val="22"/>
        </w:rPr>
        <w:t xml:space="preserve">Notification. </w:t>
      </w:r>
      <w:r>
        <w:rPr>
          <w:rFonts w:ascii="Times New Roman" w:hAnsi="Times New Roman"/>
          <w:b w:val="false"/>
          <w:i w:val="false"/>
          <w:color w:val="000000"/>
          <w:sz w:val="22"/>
        </w:rPr>
        <w:t>Notification of funding awards and other requirements of applicants shall be made in year one of the three-year funding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261—306.11</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w:t>
      </w:r>
      <w:r>
        <w:rPr>
          <w:rFonts w:ascii="Times New Roman" w:hAnsi="Times New Roman"/>
          <w:b w:val="false"/>
          <w:i w:val="false"/>
          <w:color w:val="000000"/>
          <w:sz w:val="22"/>
        </w:rPr>
        <w:t>A contract shall be issued in year one of the three-year funding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261—306.12</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w:t>
      </w:r>
      <w:r>
        <w:rPr>
          <w:rFonts w:ascii="Times New Roman" w:hAnsi="Times New Roman"/>
          <w:b w:val="false"/>
          <w:i w:val="false"/>
          <w:color w:val="000000"/>
          <w:sz w:val="22"/>
        </w:rPr>
        <w:t>A recipient annually shall submit an end-of-year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261—306.13</w:t>
      </w:r>
      <w:r>
        <w:rPr>
          <w:rFonts w:ascii="Times New Roman" w:hAnsi="Times New Roman"/>
          <w:b/>
          <w:i w:val="false"/>
          <w:color w:val="000000"/>
          <w:sz w:val="22"/>
        </w:rPr>
        <w:t xml:space="preserve">(15)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denied funding may file an appeal using procedures outlined in </w:t>
      </w:r>
      <w:hyperlink r:id="rId9">
        <w:r>
          <w:rPr>
            <w:rStyle w:val="Hyperlink"/>
            <w:rFonts w:ascii="Times New Roman" w:hAnsi="Times New Roman"/>
            <w:b w:val="false"/>
            <w:i w:val="false"/>
            <w:color w:val="000000"/>
            <w:sz w:val="22"/>
          </w:rPr>
          <w:t>261—subrules 305.3(18)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15.436 and 15.465 to 15.467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8/30/91, Notice 6/26/91—published 9/18/91, effective 10/9/91]</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6/28/95, Notice 3/15/95—published 7/19/95, effective 8/23/95]</w:t>
      </w:r>
    </w:p>
    <w:p>
      <w:pPr>
        <w:spacing w:before="0" w:after="0"/>
        <w:ind w:left="120"/>
        <w:jc w:val="center"/>
      </w:pPr>
      <w:r>
        <w:rPr>
          <w:rFonts w:ascii="Times New Roman" w:hAnsi="Times New Roman"/>
          <w:b w:val="false"/>
          <w:i w:val="false"/>
          <w:color w:val="000000"/>
          <w:sz w:val="21"/>
        </w:rPr>
        <w:t>[Filed 9/2/98, Notice 7/29/98—published 9/23/98, effective 10/28/98]</w:t>
      </w:r>
    </w:p>
    <w:p>
      <w:pPr>
        <w:spacing w:before="0" w:after="0"/>
        <w:ind w:left="120"/>
        <w:jc w:val="center"/>
      </w:pPr>
      <w:r>
        <w:rPr>
          <w:rFonts w:ascii="Times New Roman" w:hAnsi="Times New Roman"/>
          <w:b w:val="false"/>
          <w:i w:val="false"/>
          <w:color w:val="000000"/>
          <w:sz w:val="21"/>
        </w:rPr>
        <w:t>[Filed 4/24/02, Notice 3/20/02—published 5/15/02, effective 6/30/02]</w:t>
      </w:r>
    </w:p>
    <w:p>
      <w:pPr>
        <w:spacing w:before="0" w:after="0"/>
        <w:ind w:left="120"/>
        <w:jc w:val="center"/>
      </w:pPr>
      <w:r>
        <w:rPr>
          <w:rFonts w:ascii="Times New Roman" w:hAnsi="Times New Roman"/>
          <w:b w:val="false"/>
          <w:i w:val="false"/>
          <w:color w:val="000000"/>
          <w:sz w:val="21"/>
        </w:rPr>
        <w:t>[Filed 1/13/06, Notice 11/23/05—published 2/1/06, effective 3/8/06]</w:t>
      </w:r>
    </w:p>
    <w:p>
      <w:pPr>
        <w:spacing w:before="0" w:after="0"/>
        <w:ind w:left="120"/>
        <w:jc w:val="center"/>
      </w:pPr>
      <w:r>
        <w:rPr>
          <w:rFonts w:ascii="Times New Roman" w:hAnsi="Times New Roman"/>
          <w:b w:val="false"/>
          <w:i w:val="false"/>
          <w:color w:val="000000"/>
          <w:sz w:val="21"/>
        </w:rPr>
        <w:t>[Editorial change: IAC Supplement 11/15/23]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61.304.pdf" Type="http://schemas.openxmlformats.org/officeDocument/2006/relationships/hyperlink" Id="rId6"/>
    <Relationship TargetMode="External" Target="https://www.legis.iowa.gov/docs/iac/rule/261.305.3.pdf" Type="http://schemas.openxmlformats.org/officeDocument/2006/relationships/hyperlink" Id="rId7"/>
    <Relationship TargetMode="External" Target="https://www.legis.iowa.gov/docs/iac/rule/261.305.3.pdf" Type="http://schemas.openxmlformats.org/officeDocument/2006/relationships/hyperlink" Id="rId8"/>
    <Relationship TargetMode="External" Target="https://www.legis.iowa.gov/docs/iac/rule/261.305.3.pdf" Type="http://schemas.openxmlformats.org/officeDocument/2006/relationships/hyperlink" Id="rId9"/>
    <Relationship TargetMode="External" Target="https://www.legis.iowa.gov/docs/iac/rule/261.305.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