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303</w:t>
      </w:r>
    </w:p>
    <w:p>
      <w:pPr>
        <w:spacing w:before="0" w:after="0"/>
        <w:ind w:left="120"/>
        <w:jc w:val="center"/>
      </w:pPr>
      <w:r>
        <w:rPr>
          <w:rFonts w:ascii="Times New Roman" w:hAnsi="Times New Roman"/>
          <w:b w:val="false"/>
          <w:i w:val="false"/>
          <w:color w:val="000000"/>
          <w:sz w:val="21"/>
        </w:rPr>
        <w:t>CULTURAL AND ENTERTAINMENT DISTRICTS</w:t>
      </w:r>
    </w:p>
    <w:p>
      <w:pPr>
        <w:spacing w:before="0" w:after="0"/>
        <w:ind w:left="120"/>
        <w:jc w:val="center"/>
      </w:pPr>
      <w:r>
        <w:rPr>
          <w:rFonts w:ascii="Times New Roman" w:hAnsi="Times New Roman"/>
          <w:b w:val="false"/>
          <w:i w:val="false"/>
          <w:color w:val="000000"/>
          <w:sz w:val="14"/>
        </w:rPr>
        <w:t>[Prior to 11/1/23, see Cultural Affairs Department[221]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261—303.1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cultural and entertainment districts is to encourage city and county governments, organizations, businesses, and individuals to enhance the quality of life for citizens of this state and enrich local economies through developing and sustaining cultural facilities in a synergetic fashion. Certified cultural and entertainment districts will receive technical assistance from the authority’s staff, will be eligible for certain incentives, and may have professional services of other state agencies to draw upon in order to facilitate the local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cultural and entertainment district” </w:t>
      </w:r>
      <w:r>
        <w:rPr>
          <w:rFonts w:ascii="Times New Roman" w:hAnsi="Times New Roman"/>
          <w:b w:val="false"/>
          <w:i w:val="false"/>
          <w:color w:val="000000"/>
          <w:sz w:val="22"/>
        </w:rPr>
        <w:t>means a cultural and entertainment district that has been certified by the authority pursuant to these rules. A certified cultural and entertainment district must be a well-defined, compact, contiguous geographic area that includes both residential and commercial property and a high concentration of cultural facilities. Only certified cultural and entertainment districts are eligible for the incentives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 and entertainment district” </w:t>
      </w:r>
      <w:r>
        <w:rPr>
          <w:rFonts w:ascii="Times New Roman" w:hAnsi="Times New Roman"/>
          <w:b w:val="false"/>
          <w:i w:val="false"/>
          <w:color w:val="000000"/>
          <w:sz w:val="22"/>
        </w:rPr>
        <w:t>means a well-recognized, labeled, compact mixed-use area in which a high concentration of cultural facilities serves as the anchor.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 facilities” </w:t>
      </w:r>
      <w:r>
        <w:rPr>
          <w:rFonts w:ascii="Times New Roman" w:hAnsi="Times New Roman"/>
          <w:b w:val="false"/>
          <w:i w:val="false"/>
          <w:color w:val="000000"/>
          <w:sz w:val="22"/>
        </w:rPr>
        <w:t>are physical and cultural assets that play a vital role in the life and development of the community and contribute to the public through interpretive, educational, and recreational uses, including but not limited to museums, libraries, performance halls, studios, galleries, arts-related retail shops, music or media production houses, arboreta, and artist live/work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All applicants shall represent a public-private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303.3(1)</w:t>
      </w:r>
      <w:r>
        <w:rPr>
          <w:rFonts w:ascii="Times New Roman" w:hAnsi="Times New Roman"/>
          <w:b w:val="false"/>
          <w:i w:val="false"/>
          <w:color w:val="000000"/>
          <w:sz w:val="22"/>
        </w:rPr>
        <w:t> </w:t>
      </w:r>
      <w:r>
        <w:rPr>
          <w:rFonts w:ascii="Times New Roman" w:hAnsi="Times New Roman"/>
          <w:b w:val="false"/>
          <w:i/>
          <w:color w:val="000000"/>
          <w:sz w:val="22"/>
        </w:rPr>
        <w:t xml:space="preserve">Public element of partnership. </w:t>
      </w:r>
      <w:r>
        <w:rPr>
          <w:rFonts w:ascii="Times New Roman" w:hAnsi="Times New Roman"/>
          <w:b w:val="false"/>
          <w:i w:val="false"/>
          <w:color w:val="000000"/>
          <w:sz w:val="22"/>
        </w:rPr>
        <w:t>All cities and counties are eligible to serve as the public component of the partnership. Two or more cities or counties may apply jointly for certification of a district that extends across a common boundary.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303.3(2)</w:t>
      </w:r>
      <w:r>
        <w:rPr>
          <w:rFonts w:ascii="Times New Roman" w:hAnsi="Times New Roman"/>
          <w:b w:val="false"/>
          <w:i w:val="false"/>
          <w:color w:val="000000"/>
          <w:sz w:val="22"/>
        </w:rPr>
        <w:t> </w:t>
      </w:r>
      <w:r>
        <w:rPr>
          <w:rFonts w:ascii="Times New Roman" w:hAnsi="Times New Roman"/>
          <w:b w:val="false"/>
          <w:i/>
          <w:color w:val="000000"/>
          <w:sz w:val="22"/>
        </w:rPr>
        <w:t xml:space="preserve">Private element of partnership. </w:t>
      </w:r>
      <w:r>
        <w:rPr>
          <w:rFonts w:ascii="Times New Roman" w:hAnsi="Times New Roman"/>
          <w:b w:val="false"/>
          <w:i w:val="false"/>
          <w:color w:val="000000"/>
          <w:sz w:val="22"/>
        </w:rPr>
        <w:t>A local community organization (nonprofit or for-profit) is eligible to serve as the private component of the partnership.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303.4(1)</w:t>
      </w: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The cultural and entertainment district certification program will be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303.4(2)</w:t>
      </w: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The director shall appoint a cultural and entertainment district advisory committee composed of individuals knowledgeable in subjects including but not limited to historic preservation, arts, tourism, and economic development to advise the director on the various elements of the program. The advisory committee shall have nine members who serve three-year staggered terms. At least one member will be a representative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303.4(3)</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proposals (RFP). </w:t>
      </w:r>
      <w:r>
        <w:rPr>
          <w:rFonts w:ascii="Times New Roman" w:hAnsi="Times New Roman"/>
          <w:b w:val="false"/>
          <w:i w:val="false"/>
          <w:color w:val="000000"/>
          <w:sz w:val="22"/>
        </w:rPr>
        <w:t>The authority will distribute a request for proposals that describes the cultural and entertainment district certification program, outlines eligibility requirements, and includes an application and a description of the application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303.4(4)</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The authority shall develop and make available a standardized application pertaining to the certification of cultural and entertainment districts. Applications may be obtained by contacting the Iowa Economic Development Authority, 1963 Bell Avenue, Suite 200, Des Moines, Iowa 50315; telephone 515.348.6200; </w:t>
      </w:r>
      <w:hyperlink r:id="rId5">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303.4(5)</w:t>
      </w:r>
      <w:r>
        <w:rPr>
          <w:rFonts w:ascii="Times New Roman" w:hAnsi="Times New Roman"/>
          <w:b w:val="false"/>
          <w:i w:val="false"/>
          <w:color w:val="000000"/>
          <w:sz w:val="22"/>
        </w:rPr>
        <w:t> </w:t>
      </w:r>
      <w:r>
        <w:rPr>
          <w:rFonts w:ascii="Times New Roman" w:hAnsi="Times New Roman"/>
          <w:b w:val="false"/>
          <w:i/>
          <w:color w:val="000000"/>
          <w:sz w:val="22"/>
        </w:rPr>
        <w:t xml:space="preserve">Deadline. </w:t>
      </w:r>
      <w:r>
        <w:rPr>
          <w:rFonts w:ascii="Times New Roman" w:hAnsi="Times New Roman"/>
          <w:b w:val="false"/>
          <w:i w:val="false"/>
          <w:color w:val="000000"/>
          <w:sz w:val="22"/>
        </w:rPr>
        <w:t>A completed application shall be returned to the authority, postmarked no later than the date specified by the authority in the RFP, and shall contain the information requested in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261—303.5</w:t>
      </w:r>
      <w:r>
        <w:rPr>
          <w:rFonts w:ascii="Times New Roman" w:hAnsi="Times New Roman"/>
          <w:b/>
          <w:i w:val="false"/>
          <w:color w:val="000000"/>
          <w:sz w:val="22"/>
        </w:rPr>
        <w:t xml:space="preserve">(15) </w:t>
      </w:r>
      <w:r>
        <w:rPr>
          <w:rFonts w:ascii="Times New Roman" w:hAnsi="Times New Roman"/>
          <w:b/>
          <w:i w:val="false"/>
          <w:color w:val="000000"/>
          <w:sz w:val="22"/>
        </w:rPr>
        <w:t xml:space="preserve">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303.5(1)</w:t>
      </w:r>
      <w:r>
        <w:rPr>
          <w:rFonts w:ascii="Times New Roman" w:hAnsi="Times New Roman"/>
          <w:b w:val="false"/>
          <w:i w:val="false"/>
          <w:color w:val="000000"/>
          <w:sz w:val="22"/>
        </w:rPr>
        <w:t> </w:t>
      </w:r>
      <w:r>
        <w:rPr>
          <w:rFonts w:ascii="Times New Roman" w:hAnsi="Times New Roman"/>
          <w:b w:val="false"/>
          <w:i w:val="false"/>
          <w:color w:val="000000"/>
          <w:sz w:val="22"/>
        </w:rPr>
        <w:t>The authority shall establish criteria for the selection of cultural and entertainment districts for certification. The following factors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Management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Presence of cultural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community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incentives.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for developing and sustaining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303.5(2)</w:t>
      </w:r>
      <w:r>
        <w:rPr>
          <w:rFonts w:ascii="Times New Roman" w:hAnsi="Times New Roman"/>
          <w:b w:val="false"/>
          <w:i w:val="false"/>
          <w:color w:val="000000"/>
          <w:sz w:val="22"/>
        </w:rPr>
        <w:t> </w:t>
      </w:r>
      <w:r>
        <w:rPr>
          <w:rFonts w:ascii="Times New Roman" w:hAnsi="Times New Roman"/>
          <w:b w:val="false"/>
          <w:i w:val="false"/>
          <w:color w:val="000000"/>
          <w:sz w:val="22"/>
        </w:rPr>
        <w:t>The director will determine the number of cultural and entertainment districts to be selected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303.5(3)</w:t>
      </w:r>
      <w:r>
        <w:rPr>
          <w:rFonts w:ascii="Times New Roman" w:hAnsi="Times New Roman"/>
          <w:b w:val="false"/>
          <w:i w:val="false"/>
          <w:color w:val="000000"/>
          <w:sz w:val="22"/>
        </w:rPr>
        <w:t> </w:t>
      </w:r>
      <w:r>
        <w:rPr>
          <w:rFonts w:ascii="Times New Roman" w:hAnsi="Times New Roman"/>
          <w:b w:val="false"/>
          <w:i w:val="false"/>
          <w:color w:val="000000"/>
          <w:sz w:val="22"/>
        </w:rPr>
        <w:t>Cultural and entertainment districts will be selected for certification on a competitive basis from the applications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303.5(4)</w:t>
      </w:r>
      <w:r>
        <w:rPr>
          <w:rFonts w:ascii="Times New Roman" w:hAnsi="Times New Roman"/>
          <w:b w:val="false"/>
          <w:i w:val="false"/>
          <w:color w:val="000000"/>
          <w:sz w:val="22"/>
        </w:rPr>
        <w:t> </w:t>
      </w:r>
      <w:r>
        <w:rPr>
          <w:rFonts w:ascii="Times New Roman" w:hAnsi="Times New Roman"/>
          <w:b w:val="false"/>
          <w:i w:val="false"/>
          <w:color w:val="000000"/>
          <w:sz w:val="22"/>
        </w:rPr>
        <w:t>Staff review. Applications shall be reviewed by authority staff to ensure compliance with the program’s administrative rules and guidelines. Applications meeting the requirements shall be forwarded to the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303.5(5)</w:t>
      </w:r>
      <w:r>
        <w:rPr>
          <w:rFonts w:ascii="Times New Roman" w:hAnsi="Times New Roman"/>
          <w:b w:val="false"/>
          <w:i w:val="false"/>
          <w:color w:val="000000"/>
          <w:sz w:val="22"/>
        </w:rPr>
        <w:t> </w:t>
      </w:r>
      <w:r>
        <w:rPr>
          <w:rFonts w:ascii="Times New Roman" w:hAnsi="Times New Roman"/>
          <w:b w:val="false"/>
          <w:i w:val="false"/>
          <w:color w:val="000000"/>
          <w:sz w:val="22"/>
        </w:rPr>
        <w:t>Advisory committee review. The advisory committee will review applications and make recommendations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303.5(6)</w:t>
      </w:r>
      <w:r>
        <w:rPr>
          <w:rFonts w:ascii="Times New Roman" w:hAnsi="Times New Roman"/>
          <w:b w:val="false"/>
          <w:i w:val="false"/>
          <w:color w:val="000000"/>
          <w:sz w:val="22"/>
        </w:rPr>
        <w:t> </w:t>
      </w:r>
      <w:r>
        <w:rPr>
          <w:rFonts w:ascii="Times New Roman" w:hAnsi="Times New Roman"/>
          <w:b w:val="false"/>
          <w:i w:val="false"/>
          <w:color w:val="000000"/>
          <w:sz w:val="22"/>
        </w:rPr>
        <w:t>Final selection. The director shall make final certification decisions. The director reserves the right to withhold certification if applications submitted do not adequately achieve the purposes of the cultural and entertainment district certification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261—303.6</w:t>
      </w:r>
      <w:r>
        <w:rPr>
          <w:rFonts w:ascii="Times New Roman" w:hAnsi="Times New Roman"/>
          <w:b/>
          <w:i w:val="false"/>
          <w:color w:val="000000"/>
          <w:sz w:val="22"/>
        </w:rPr>
        <w:t xml:space="preserve">(15) </w:t>
      </w:r>
      <w:r>
        <w:rPr>
          <w:rFonts w:ascii="Times New Roman" w:hAnsi="Times New Roman"/>
          <w:b/>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At least annually, the director will announce the certification of cultural and entertainment districts. If no new certifications have been issued, the director will so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303.6(2)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Certified cultural and entertainment districts must submit an annual report to the authority. Continued certification is contingent upon acceptable performance. The authority may amend, suspend, or terminate certification for reasons that may include, but are not limited to, a consistent failure to report, a dissolution of the management structure, or a significant deviation from the plan for cultural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261—303.7</w:t>
      </w:r>
      <w:r>
        <w:rPr>
          <w:rFonts w:ascii="Times New Roman" w:hAnsi="Times New Roman"/>
          <w:b/>
          <w:i w:val="false"/>
          <w:color w:val="000000"/>
          <w:sz w:val="22"/>
        </w:rPr>
        <w:t xml:space="preserve">(15) </w:t>
      </w:r>
      <w:r>
        <w:rPr>
          <w:rFonts w:ascii="Times New Roman" w:hAnsi="Times New Roman"/>
          <w:b/>
          <w:i w:val="false"/>
          <w:color w:val="000000"/>
          <w:sz w:val="22"/>
        </w:rPr>
        <w:t xml:space="preserve">Incentives. </w:t>
      </w:r>
      <w:r>
        <w:rPr>
          <w:rFonts w:ascii="Times New Roman" w:hAnsi="Times New Roman"/>
          <w:b w:val="false"/>
          <w:i w:val="false"/>
          <w:color w:val="000000"/>
          <w:sz w:val="22"/>
        </w:rPr>
        <w:t>The authority shall encourage development projects and activities located in certified cultural and entertainment districts through incentives.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303.7(1)</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of property located in certified cultural and entertainment districts may request tax benefits for substantial rehabilitation work on historic buildings. Property owners desiring these tax benefits shall make application under </w:t>
      </w:r>
      <w:hyperlink r:id="rId6">
        <w:r>
          <w:rPr>
            <w:rStyle w:val="Hyperlink"/>
            <w:rFonts w:ascii="Times New Roman" w:hAnsi="Times New Roman"/>
            <w:b w:val="false"/>
            <w:i w:val="false"/>
            <w:color w:val="000000"/>
            <w:sz w:val="22"/>
          </w:rPr>
          <w:t>223—Chapters 47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w:t>
        </w:r>
      </w:hyperlink>
      <w:r>
        <w:rPr>
          <w:rFonts w:ascii="Times New Roman" w:hAnsi="Times New Roman"/>
          <w:b w:val="false"/>
          <w:i w:val="false"/>
          <w:color w:val="000000"/>
          <w:sz w:val="22"/>
        </w:rPr>
        <w:t xml:space="preserve"> and shall comply with all requirements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303.7(2)</w:t>
      </w:r>
      <w:r>
        <w:rPr>
          <w:rFonts w:ascii="Times New Roman" w:hAnsi="Times New Roman"/>
          <w:b w:val="false"/>
          <w:i w:val="false"/>
          <w:color w:val="000000"/>
          <w:sz w:val="22"/>
        </w:rPr>
        <w:t> </w:t>
      </w:r>
      <w:r>
        <w:rPr>
          <w:rFonts w:ascii="Times New Roman" w:hAnsi="Times New Roman"/>
          <w:b w:val="false"/>
          <w:i w:val="false"/>
          <w:color w:val="000000"/>
          <w:sz w:val="22"/>
        </w:rPr>
        <w:t>The authority shall provide incentives under cultural grant programs administered by the authority. Specific incentives may be reflected in the application instructions for each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303.7(3)</w:t>
      </w:r>
      <w:r>
        <w:rPr>
          <w:rFonts w:ascii="Times New Roman" w:hAnsi="Times New Roman"/>
          <w:b w:val="false"/>
          <w:i w:val="false"/>
          <w:color w:val="000000"/>
          <w:sz w:val="22"/>
        </w:rPr>
        <w:t> </w:t>
      </w:r>
      <w:r>
        <w:rPr>
          <w:rFonts w:ascii="Times New Roman" w:hAnsi="Times New Roman"/>
          <w:b w:val="false"/>
          <w:i w:val="false"/>
          <w:color w:val="000000"/>
          <w:sz w:val="22"/>
        </w:rPr>
        <w:t>Additional incentives may from time to time be offered by the authority, other state agencies, and other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261—303.8</w:t>
      </w:r>
      <w:r>
        <w:rPr>
          <w:rFonts w:ascii="Times New Roman" w:hAnsi="Times New Roman"/>
          <w:b/>
          <w:i w:val="false"/>
          <w:color w:val="000000"/>
          <w:sz w:val="22"/>
        </w:rPr>
        <w:t xml:space="preserve">(15) </w:t>
      </w:r>
      <w:r>
        <w:rPr>
          <w:rFonts w:ascii="Times New Roman" w:hAnsi="Times New Roman"/>
          <w:b/>
          <w:i w:val="false"/>
          <w:color w:val="000000"/>
          <w:sz w:val="22"/>
        </w:rPr>
        <w:t xml:space="preserve">Appeals. </w:t>
      </w:r>
      <w:r>
        <w:rPr>
          <w:rFonts w:ascii="Times New Roman" w:hAnsi="Times New Roman"/>
          <w:b w:val="false"/>
          <w:i w:val="false"/>
          <w:color w:val="000000"/>
          <w:sz w:val="22"/>
        </w:rPr>
        <w:t>Eligible applicants may informally appeal a decision of the director not to certify a cultural and entertainment district on any of the following bases: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Action was outside statutory authority;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Decision was influenced by a conflict of interest;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Action violated state law, administrative rule, or written policy;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Insufficient public notice was given;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Alteration of the review process was detrimental to the applicant.</w:t>
      </w:r>
    </w:p>
    <w:p>
      <w:pPr>
        <w:spacing w:before="0" w:after="0"/>
        <w:ind w:left="120"/>
        <w:jc w:val="both"/>
      </w:pPr>
      <w:r>
        <w:rPr>
          <w:rFonts w:ascii="Times New Roman" w:hAnsi="Times New Roman"/>
          <w:b w:val="false"/>
          <w:i w:val="false"/>
          <w:color w:val="000000"/>
          <w:sz w:val="22"/>
        </w:rPr>
        <w:t>Informal appeals shall be submitted in writing within 15 days of the notice of denial. All informal appeals shall be directed to the Director, Iowa Economic Development Authority, 1963 Bell Avenue, Suite 200, Des Moines, Iowa 50315. All informal appeals shall contain the facts of the case, argument in favor of the appeal, and remedy sought.</w:t>
      </w:r>
    </w:p>
    <w:p>
      <w:pPr>
        <w:spacing w:before="0" w:after="0"/>
        <w:ind w:left="120"/>
        <w:jc w:val="both"/>
      </w:pPr>
      <w:r>
        <w:rPr>
          <w:rFonts w:ascii="Times New Roman" w:hAnsi="Times New Roman"/>
          <w:b w:val="false"/>
          <w:i w:val="false"/>
          <w:color w:val="000000"/>
          <w:sz w:val="22"/>
        </w:rPr>
        <w:t xml:space="preserve">The director shall consider and rule on the informal appeal after receiving all documentation from the appellant and shall notify the appellant in writing of the decision within 30 days. Decisions by the director may be appealed through the contested case process as set out in Iowa Code sections </w:t>
      </w:r>
      <w:hyperlink r:id="rId8">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15.438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2/26/04, Notice 1/21/04—published 3/17/04, effective 4/21/04]</w:t>
      </w:r>
    </w:p>
    <w:p>
      <w:pPr>
        <w:spacing w:before="0" w:after="0"/>
        <w:ind w:left="120"/>
        <w:jc w:val="center"/>
      </w:pPr>
      <w:r>
        <w:rPr>
          <w:rFonts w:ascii="Times New Roman" w:hAnsi="Times New Roman"/>
          <w:b w:val="false"/>
          <w:i w:val="false"/>
          <w:color w:val="000000"/>
          <w:sz w:val="21"/>
        </w:rPr>
        <w:t>[Filed 9/9/05, Notice 8/3/05—published 9/28/05, effective 11/2/05]</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eda.com" Type="http://schemas.openxmlformats.org/officeDocument/2006/relationships/hyperlink" Id="rId5"/>
    <Relationship TargetMode="External" Target="https://www.legis.iowa.gov/docs/iac/chapter/223.47.pdf" Type="http://schemas.openxmlformats.org/officeDocument/2006/relationships/hyperlink" Id="rId6"/>
    <Relationship TargetMode="External" Target="https://www.legis.iowa.gov/docs/iac/chapter/223.48.pdf" Type="http://schemas.openxmlformats.org/officeDocument/2006/relationships/hyperlink" Id="rId7"/>
    <Relationship TargetMode="External" Target="https://www.legis.iowa.gov/docs/ico/chapter/17A.10-1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