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302</w:t>
      </w:r>
    </w:p>
    <w:p>
      <w:pPr>
        <w:spacing w:before="0" w:after="0"/>
        <w:ind w:left="120"/>
        <w:jc w:val="center"/>
      </w:pPr>
      <w:r>
        <w:rPr>
          <w:rFonts w:ascii="Times New Roman" w:hAnsi="Times New Roman"/>
          <w:b w:val="false"/>
          <w:i w:val="false"/>
          <w:color w:val="000000"/>
          <w:sz w:val="21"/>
        </w:rPr>
        <w:t>CULTURAL LEADERSHIP PARTNERS (CLP) PROGRAM</w:t>
      </w:r>
    </w:p>
    <w:p>
      <w:pPr>
        <w:spacing w:before="0" w:after="0"/>
        <w:ind w:left="120"/>
        <w:jc w:val="center"/>
      </w:pPr>
      <w:r>
        <w:rPr>
          <w:rFonts w:ascii="Times New Roman" w:hAnsi="Times New Roman"/>
          <w:b w:val="false"/>
          <w:i w:val="false"/>
          <w:color w:val="000000"/>
          <w:sz w:val="14"/>
        </w:rPr>
        <w:t>[Prior to 11/1/23, see Cultural Affairs Department[221]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261—302.1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cultural leadership partners program provides multiyear, general operating budgetary support to major arts and cultural organizations which demonstrate an exemplary record of cultural and managerial excellence and community service on a continuing basis to the citizens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formal request on prescribed forms for funds available through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“Arts organization” </w:t>
      </w:r>
      <w:r>
        <w:rPr>
          <w:rFonts w:ascii="Times New Roman" w:hAnsi="Times New Roman"/>
          <w:b w:val="false"/>
          <w:i w:val="false"/>
          <w:color w:val="000000"/>
          <w:sz w:val="22"/>
        </w:rPr>
        <w:t>means an eligible organization whose primary mission, purpose, and services are centered in the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“CLP” </w:t>
      </w:r>
      <w:r>
        <w:rPr>
          <w:rFonts w:ascii="Times New Roman" w:hAnsi="Times New Roman"/>
          <w:b w:val="false"/>
          <w:i w:val="false"/>
          <w:color w:val="000000"/>
          <w:sz w:val="22"/>
        </w:rPr>
        <w:t>means the cultural leadership partners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“CLP coordinator” </w:t>
      </w:r>
      <w:r>
        <w:rPr>
          <w:rFonts w:ascii="Times New Roman" w:hAnsi="Times New Roman"/>
          <w:b w:val="false"/>
          <w:i w:val="false"/>
          <w:color w:val="000000"/>
          <w:sz w:val="22"/>
        </w:rPr>
        <w:t>means the authority staff member assigned as the primary contact person for the CLP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 organization” </w:t>
      </w:r>
      <w:r>
        <w:rPr>
          <w:rFonts w:ascii="Times New Roman" w:hAnsi="Times New Roman"/>
          <w:b w:val="false"/>
          <w:i w:val="false"/>
          <w:color w:val="000000"/>
          <w:sz w:val="22"/>
        </w:rPr>
        <w:t>means an eligible organization with a primary mission and purpose that is cultural in nature; the cultural organization must operate as a museum, botanical center, zoo, or center for the performing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organization” </w:t>
      </w:r>
      <w:r>
        <w:rPr>
          <w:rFonts w:ascii="Times New Roman" w:hAnsi="Times New Roman"/>
          <w:b w:val="false"/>
          <w:i w:val="false"/>
          <w:color w:val="000000"/>
          <w:sz w:val="22"/>
        </w:rPr>
        <w:t>means an Iowa arts or cultural organization that meets the criteria for eligibility described in published guidelines. “Eligible organization” shall not include an organization that uses a fiscal agent or the Iowa nonprofit or federal tax-exempt status of another organization; an organization that receives general operating support through other programs administered by the authority or its divisions; a for-profit corporation or business, religious organization, political party, or national service/professional organization; an agency, department or division of county, state or federal government, including libraries, parks, and recreation departments; an auditorium, convention center or similar venue; or an educational institution, organization or PK-12 school, whose primary orientation, mission and purpose are education and the awarding of academic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“End-of-year report” </w:t>
      </w:r>
      <w:r>
        <w:rPr>
          <w:rFonts w:ascii="Times New Roman" w:hAnsi="Times New Roman"/>
          <w:b w:val="false"/>
          <w:i w:val="false"/>
          <w:color w:val="000000"/>
          <w:sz w:val="22"/>
        </w:rPr>
        <w:t>means a report submitted to the authority following the end of a partner organization’s operating year, detailing financial, operational, and programming data of the partner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team” </w:t>
      </w:r>
      <w:r>
        <w:rPr>
          <w:rFonts w:ascii="Times New Roman" w:hAnsi="Times New Roman"/>
          <w:b w:val="false"/>
          <w:i w:val="false"/>
          <w:color w:val="000000"/>
          <w:sz w:val="22"/>
        </w:rPr>
        <w:t>means a team of up to four individuals appointed by the director who have knowledge and expertise relevant to the arts or cultural applicant organization being evaluated for acceptance into the CLP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“Matching funds” </w:t>
      </w:r>
      <w:r>
        <w:rPr>
          <w:rFonts w:ascii="Times New Roman" w:hAnsi="Times New Roman"/>
          <w:b w:val="false"/>
          <w:i w:val="false"/>
          <w:color w:val="000000"/>
          <w:sz w:val="22"/>
        </w:rPr>
        <w:t>means nonstate and nonfederal funds equal to or in excess of the grant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“Partner organization” </w:t>
      </w:r>
      <w:r>
        <w:rPr>
          <w:rFonts w:ascii="Times New Roman" w:hAnsi="Times New Roman"/>
          <w:b w:val="false"/>
          <w:i w:val="false"/>
          <w:color w:val="000000"/>
          <w:sz w:val="22"/>
        </w:rPr>
        <w:t>means any eligible applicant that has been accepted by the director into the cultural leadership partners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Eligibility requirements are according to published program guidelines. Eligible organizations must meet all eligibility requirements of this program for the applicant’s three previous operating years prior to the application deadline. Organizations receiving funding through this program must continue to meet all eligibility requirements annually to continue to receive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All applications shall be submitted on official application forms available from the authority. Procedures for review of applications are according to published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302.4(2)</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Applications will be accepted from eligible organizations every three years according to published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261—302.5</w:t>
      </w:r>
      <w:r>
        <w:rPr>
          <w:rFonts w:ascii="Times New Roman" w:hAnsi="Times New Roman"/>
          <w:b/>
          <w:i w:val="false"/>
          <w:color w:val="000000"/>
          <w:sz w:val="22"/>
        </w:rPr>
        <w:t xml:space="preserve">(15) </w:t>
      </w:r>
      <w:r>
        <w:rPr>
          <w:rFonts w:ascii="Times New Roman" w:hAnsi="Times New Roman"/>
          <w:b/>
          <w:i w:val="false"/>
          <w:color w:val="000000"/>
          <w:sz w:val="22"/>
        </w:rPr>
        <w:t xml:space="preserve">Matching funds. </w:t>
      </w:r>
      <w:r>
        <w:rPr>
          <w:rFonts w:ascii="Times New Roman" w:hAnsi="Times New Roman"/>
          <w:b w:val="false"/>
          <w:i w:val="false"/>
          <w:color w:val="000000"/>
          <w:sz w:val="22"/>
        </w:rPr>
        <w:t>Eligible organizations whose cash operating budgets include nonstate and nonfederal funds equal to or in excess of the grant award shall be determined to have met the matching requirements for this program. Grant funds from the department or its divisions shall not be used as matching funds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261—302.6</w:t>
      </w:r>
      <w:r>
        <w:rPr>
          <w:rFonts w:ascii="Times New Roman" w:hAnsi="Times New Roman"/>
          <w:b/>
          <w:i w:val="false"/>
          <w:color w:val="000000"/>
          <w:sz w:val="22"/>
        </w:rPr>
        <w:t xml:space="preserve">(15) </w:t>
      </w:r>
      <w:r>
        <w:rPr>
          <w:rFonts w:ascii="Times New Roman" w:hAnsi="Times New Roman"/>
          <w:b/>
          <w:i w:val="false"/>
          <w:color w:val="000000"/>
          <w:sz w:val="22"/>
        </w:rPr>
        <w:t xml:space="preserve">Evaluation team. </w:t>
      </w:r>
      <w:r>
        <w:rPr>
          <w:rFonts w:ascii="Times New Roman" w:hAnsi="Times New Roman"/>
          <w:b w:val="false"/>
          <w:i w:val="false"/>
          <w:color w:val="000000"/>
          <w:sz w:val="22"/>
        </w:rPr>
        <w:t>The director shall appoint an evaluation team of up to four individuals to review each eligible organization’s application and recommend approval for funding under the guidelines of this program. The members of the evaluation team shall serve until the review process for the applicant organization is completed. The evaluation team shall consist of representatives with knowledge and expertise pertinent to the types of organizations eligible for the cultural leadership partners program. The committee evaluation team shall be comprised of members who are not employed by an applicant and who do not serve on a board, council, or commission of an applicant, with or without compensation.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261—302.7</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be screened by the CLP coordinator for eligibility and completeness. Incomplete or ineligible applications or applications received after the deadline shall not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evaluation team shall evaluate all applications eligible for consideration and make recommendations for funding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decisions, certification of grant awards, and acceptance into the CLP program shall be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302.7(2)</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w:t>
      </w:r>
      <w:r>
        <w:rPr>
          <w:rFonts w:ascii="Times New Roman" w:hAnsi="Times New Roman"/>
          <w:b w:val="false"/>
          <w:i w:val="false"/>
          <w:color w:val="000000"/>
          <w:sz w:val="22"/>
        </w:rPr>
        <w:t>Review criteria shall be according to the authority’s published guidelines and shall include the following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Programmatic excellence, leadership and cultural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Sound fiscal and managerial practices and administrative stability;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outreach and involvement.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261—302.8</w:t>
      </w:r>
      <w:r>
        <w:rPr>
          <w:rFonts w:ascii="Times New Roman" w:hAnsi="Times New Roman"/>
          <w:b/>
          <w:i w:val="false"/>
          <w:color w:val="000000"/>
          <w:sz w:val="22"/>
        </w:rPr>
        <w:t xml:space="preserve">(15) </w:t>
      </w:r>
      <w:r>
        <w:rPr>
          <w:rFonts w:ascii="Times New Roman" w:hAnsi="Times New Roman"/>
          <w:b/>
          <w:i w:val="false"/>
          <w:color w:val="000000"/>
          <w:sz w:val="22"/>
        </w:rPr>
        <w:t xml:space="preserve">Grant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certification by the director that an applicant organization is approved to become a CLP partner, the authority shall enter into a contract with the organization. The contract shall state the dates, terms, and conditions of the grant award, as well as the amount of the award. When allocating awards to cultural leadership partners, the director shall first ensure that funds are available to meet obligations to existing partners before entering into any contracts with new partner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contracts shall be approved by the director and the legally responsible officer of the partner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Payments of the grant award shall be made upon the receipt by the authority of a signed contract from the partner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302.8(3)</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records, supporting documents, and all other records pertinent to the program shall be retained by the partner organization for three years beyond the grant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authority and the state auditor’s office shall have access to all books, documents, account information, or other property belonging to or in use by the partner organization pertaining to the receipt of funds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302.8(4)</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recipient of any grant of $25,000 or more in any single grant cycle shall have conducted an on-site financial compliance audit. This audit shall not be an eligible grant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partner organization shall provide an end-of-year report of the use of CLP funds which shall be submitted according to a schedule as outlined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302.8(6)</w:t>
      </w:r>
      <w:r>
        <w:rPr>
          <w:rFonts w:ascii="Times New Roman" w:hAnsi="Times New Roman"/>
          <w:b w:val="false"/>
          <w:i w:val="false"/>
          <w:color w:val="000000"/>
          <w:sz w:val="22"/>
        </w:rPr>
        <w:t> </w:t>
      </w:r>
      <w:r>
        <w:rPr>
          <w:rFonts w:ascii="Times New Roman" w:hAnsi="Times New Roman"/>
          <w:b w:val="false"/>
          <w:i/>
          <w:color w:val="000000"/>
          <w:sz w:val="22"/>
        </w:rPr>
        <w:t xml:space="preserve">Finding of noncompliance. </w:t>
      </w:r>
      <w:r>
        <w:rPr>
          <w:rFonts w:ascii="Times New Roman" w:hAnsi="Times New Roman"/>
          <w:b w:val="false"/>
          <w:i w:val="false"/>
          <w:color w:val="000000"/>
          <w:sz w:val="22"/>
        </w:rPr>
        <w:t>The authority may, for cause, find that a partner organization is not in compliance with the requirements of this program or the terms of the contract. At the authority’s discretion, remedies for noncompliance may include suspension or return of grant funds. Reasons for a finding of noncompliance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partner organization’s use of funds for activities not permitted under the guidelines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partner organization to return the signed contract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partner organization to comply with any applicable state or federal rules, regulations, or laws;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violation of the terms of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261—302.9</w:t>
      </w:r>
      <w:r>
        <w:rPr>
          <w:rFonts w:ascii="Times New Roman" w:hAnsi="Times New Roman"/>
          <w:b/>
          <w:i w:val="false"/>
          <w:color w:val="000000"/>
          <w:sz w:val="22"/>
        </w:rPr>
        <w:t xml:space="preserve">(15) </w:t>
      </w:r>
      <w:r>
        <w:rPr>
          <w:rFonts w:ascii="Times New Roman" w:hAnsi="Times New Roman"/>
          <w:b/>
          <w:i w:val="false"/>
          <w:color w:val="000000"/>
          <w:sz w:val="22"/>
        </w:rPr>
        <w:t xml:space="preserve">Informal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302.9(1)</w:t>
      </w:r>
      <w:r>
        <w:rPr>
          <w:rFonts w:ascii="Times New Roman" w:hAnsi="Times New Roman"/>
          <w:b w:val="false"/>
          <w:i w:val="false"/>
          <w:color w:val="000000"/>
          <w:sz w:val="22"/>
        </w:rPr>
        <w:t> </w:t>
      </w:r>
      <w:r>
        <w:rPr>
          <w:rFonts w:ascii="Times New Roman" w:hAnsi="Times New Roman"/>
          <w:b w:val="false"/>
          <w:i w:val="false"/>
          <w:color w:val="000000"/>
          <w:sz w:val="22"/>
        </w:rPr>
        <w:t>Eligible applicants or partner organizations may informally appeal a decision of the authority not to grant CLP funds on any of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Action was outside of the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 was influenced by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Action violated state law, administrative rules,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Insufficient public notice was given;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Alteration of the review and certification processes was detrimental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302.9(2)</w:t>
      </w:r>
      <w:r>
        <w:rPr>
          <w:rFonts w:ascii="Times New Roman" w:hAnsi="Times New Roman"/>
          <w:b w:val="false"/>
          <w:i w:val="false"/>
          <w:color w:val="000000"/>
          <w:sz w:val="22"/>
        </w:rPr>
        <w:t> </w:t>
      </w:r>
      <w:r>
        <w:rPr>
          <w:rFonts w:ascii="Times New Roman" w:hAnsi="Times New Roman"/>
          <w:b w:val="false"/>
          <w:i w:val="false"/>
          <w:color w:val="000000"/>
          <w:sz w:val="22"/>
        </w:rPr>
        <w:t>Informal appeals in writing may be directed to the director within 15 days of the final certification of the incident. All informal appeals shall be directed to the Director, Iowa Economic Development Authority, 1963 Bell Avenue, Suite 200,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302.9(3)</w:t>
      </w:r>
      <w:r>
        <w:rPr>
          <w:rFonts w:ascii="Times New Roman" w:hAnsi="Times New Roman"/>
          <w:b w:val="false"/>
          <w:i w:val="false"/>
          <w:color w:val="000000"/>
          <w:sz w:val="22"/>
        </w:rPr>
        <w:t> </w:t>
      </w:r>
      <w:r>
        <w:rPr>
          <w:rFonts w:ascii="Times New Roman" w:hAnsi="Times New Roman"/>
          <w:b w:val="false"/>
          <w:i w:val="false"/>
          <w:color w:val="000000"/>
          <w:sz w:val="22"/>
        </w:rPr>
        <w:t>All informal appeals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Argument in favor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Remedy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consider and rule on the informal appeal after receiving all documentation from the appellant and shall notify the appellant in writing of the decision within 30 days. Decisions by the director may be appealed through the contested case process as set out in Iowa Code sections </w:t>
      </w:r>
      <w:hyperlink r:id="rId5">
        <w:r>
          <w:rPr>
            <w:rStyle w:val="Hyperlink"/>
            <w:rFonts w:ascii="Times New Roman" w:hAnsi="Times New Roman"/>
            <w:b w:val="false"/>
            <w:i w:val="false"/>
            <w:color w:val="000000"/>
            <w:sz w:val="22"/>
          </w:rPr>
          <w:t>17A.10 to 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15.436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11/8/90, Notice 8/8/90—published 11/28/90, effective 1/2/91]</w:t>
      </w:r>
    </w:p>
    <w:p>
      <w:pPr>
        <w:spacing w:before="0" w:after="0"/>
        <w:ind w:left="120"/>
        <w:jc w:val="center"/>
      </w:pPr>
      <w:r>
        <w:rPr>
          <w:rFonts w:ascii="Times New Roman" w:hAnsi="Times New Roman"/>
          <w:b w:val="false"/>
          <w:i w:val="false"/>
          <w:color w:val="000000"/>
          <w:sz w:val="21"/>
        </w:rPr>
        <w:t>[Filed 4/24/02, Notice 3/20/02—published 5/15/02, effective 6/30/02]</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[Editorial change: IAC Supplement 11/1/23]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0-1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