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RURAL INNOVATION GRANT PROGRAM</w:t>
      </w:r>
    </w:p>
    <w:p>
      <w:pPr>
        <w:spacing w:before="0" w:after="0"/>
        <w:ind w:left="120"/>
        <w:jc w:val="center"/>
      </w:pPr>
      <w:r>
        <w:rPr>
          <w:rFonts w:ascii="Times New Roman" w:hAnsi="Times New Roman"/>
          <w:b w:val="false"/>
          <w:i w:val="false"/>
          <w:color w:val="000000"/>
          <w:sz w:val="14"/>
        </w:rPr>
        <w:t>[Prior to 02/22/23, see Economic Development Authority[261] Ch 221]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7/2/30</w:t>
      </w:r>
    </w:p>
    <w:p>
      <w:pPr>
        <w:spacing w:before="0" w:after="0"/>
        <w:ind w:left="120"/>
        <w:jc w:val="both"/>
      </w:pPr>
      <w:r>
        <w:rPr>
          <w:rFonts w:ascii="Times New Roman" w:hAnsi="Times New Roman"/>
          <w:b/>
          <w:i w:val="false"/>
          <w:color w:val="000000"/>
          <w:sz w:val="22"/>
        </w:rPr>
        <w:t>261—29.1</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rural innovation grant program is to support creative, nontraditional ideas that focus on current issues and challenges faced by rural communities.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9300C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261—29.2</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means an Iowa business, a college, a university, a city, a county, a council of governments organization established by Iowa Code chapter </w:t>
      </w:r>
      <w:hyperlink r:id="rId5">
        <w:r>
          <w:rPr>
            <w:rStyle w:val="Hyperlink"/>
            <w:rFonts w:ascii="Times New Roman" w:hAnsi="Times New Roman"/>
            <w:b w:val="false"/>
            <w:i w:val="false"/>
            <w:color w:val="000000"/>
            <w:sz w:val="22"/>
          </w:rPr>
          <w:t>28H</w:t>
        </w:r>
      </w:hyperlink>
      <w:r>
        <w:rPr>
          <w:rFonts w:ascii="Times New Roman" w:hAnsi="Times New Roman"/>
          <w:b w:val="false"/>
          <w:i w:val="false"/>
          <w:color w:val="000000"/>
          <w:sz w:val="22"/>
        </w:rPr>
        <w:t>, a K-12 educational institution, or a private nonprofit agency or a foundation applying for financial assistance under the program. A business will be considered an Iowa business if the business has a physical location in Iowa and is incorporated in the state of Iowa or authorized to do business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 grant made by the authority to an applicant approved for funding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rural innovation grant program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 program or activity undertaken in and for the benefit of a community in Iowa with a population of 20,000 or less and not contiguous to a city with a population of 40,000 or greater.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9300C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261—29.3</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Program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w:t>
      </w:r>
      <w:r>
        <w:rPr>
          <w:rFonts w:ascii="Times New Roman" w:hAnsi="Times New Roman"/>
          <w:b w:val="false"/>
          <w:i w:val="false"/>
          <w:color w:val="000000"/>
          <w:sz w:val="22"/>
        </w:rPr>
        <w:t> </w:t>
      </w:r>
      <w:r>
        <w:rPr>
          <w:rFonts w:ascii="Times New Roman" w:hAnsi="Times New Roman"/>
          <w:b w:val="false"/>
          <w:i/>
          <w:color w:val="000000"/>
          <w:sz w:val="22"/>
        </w:rPr>
        <w:t xml:space="preserve">Amount, form, and timing of assistance. </w:t>
      </w:r>
      <w:r>
        <w:rPr>
          <w:rFonts w:ascii="Times New Roman" w:hAnsi="Times New Roman"/>
          <w:b w:val="false"/>
          <w:i w:val="false"/>
          <w:color w:val="000000"/>
          <w:sz w:val="22"/>
        </w:rPr>
        <w:t>The amount of assistance awarded will be determined by the authority based on the total amount of funds available to the authority for the program and based on the project details. The authority will establish a maximum grant award per application and a minimum grant award per application for each fiscal year in which funding is available. The authority will provide financial assistance in the form of a grant. Funds will be disbursed on a reimbursement basis for expenses incurred by the applicant after approval of an award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All applications and other filings related to the program shall be on such forms and in accordance with such instructions as established by the authority. Information about the program, the application, and application instructions may be obtained by contacting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period. </w:t>
      </w:r>
      <w:r>
        <w:rPr>
          <w:rFonts w:ascii="Times New Roman" w:hAnsi="Times New Roman"/>
          <w:b w:val="false"/>
          <w:i w:val="false"/>
          <w:color w:val="000000"/>
          <w:sz w:val="22"/>
        </w:rPr>
        <w:t>Each fiscal year during which funding is available, applications for financial assistance will only be accepted during the established application period, or periods, as identified by the authority on its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Frequency of application. </w:t>
      </w:r>
      <w:r>
        <w:rPr>
          <w:rFonts w:ascii="Times New Roman" w:hAnsi="Times New Roman"/>
          <w:b w:val="false"/>
          <w:i w:val="false"/>
          <w:color w:val="000000"/>
          <w:sz w:val="22"/>
        </w:rPr>
        <w:t>An eligible applicant may only be named as the primary entity on one application per application period. However, an applicant who has applied as the primary entity for an application may also be named as a partner on additional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Completeness. </w:t>
      </w:r>
      <w:r>
        <w:rPr>
          <w:rFonts w:ascii="Times New Roman" w:hAnsi="Times New Roman"/>
          <w:b w:val="false"/>
          <w:i w:val="false"/>
          <w:color w:val="000000"/>
          <w:sz w:val="22"/>
        </w:rPr>
        <w:t>An application will not be considered submitted for review until the application is completed and all required supporting documentation and information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29.3(3)</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use funds only for reimbursement of the costs directly related to the project. The authority may require documentation or other information establishing the actual costs incurred for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“costs directly related” does not include ineligible expenses, such as international travel, domestic travel outside the state of Iowa, insurance, training or professional development courses, and any other expenses specified as ineligible in the agreement entered pursuant to rule </w:t>
      </w:r>
      <w:hyperlink r:id="rId7">
        <w:r>
          <w:rPr>
            <w:rStyle w:val="Hyperlink"/>
            <w:rFonts w:ascii="Times New Roman" w:hAnsi="Times New Roman"/>
            <w:b w:val="false"/>
            <w:i w:val="false"/>
            <w:color w:val="000000"/>
            <w:sz w:val="22"/>
          </w:rPr>
          <w:t>261—29.5</w:t>
        </w:r>
      </w:hyperlink>
      <w:r>
        <w:rPr>
          <w:rFonts w:ascii="Times New Roman" w:hAnsi="Times New Roman"/>
          <w:b w:val="false"/>
          <w:i w:val="false"/>
          <w:color w:val="000000"/>
          <w:sz w:val="22"/>
        </w:rPr>
        <w:t>(88GA,SF608).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9300C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261—29.4</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Program eligibility, application scoring, and funding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w:t>
      </w:r>
      <w:r>
        <w:rPr>
          <w:rFonts w:ascii="Times New Roman" w:hAnsi="Times New Roman"/>
          <w:b w:val="false"/>
          <w:i w:val="false"/>
          <w:color w:val="000000"/>
          <w:sz w:val="22"/>
        </w:rPr>
        <w:t>An applicant must meet the following eligibility criteria to qualify for financial assistance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meet the definition of “applicant” in rule </w:t>
      </w:r>
      <w:hyperlink r:id="rId8">
        <w:r>
          <w:rPr>
            <w:rStyle w:val="Hyperlink"/>
            <w:rFonts w:ascii="Times New Roman" w:hAnsi="Times New Roman"/>
            <w:b w:val="false"/>
            <w:i w:val="false"/>
            <w:color w:val="000000"/>
            <w:sz w:val="22"/>
          </w:rPr>
          <w:t>261—29.2</w:t>
        </w:r>
      </w:hyperlink>
      <w:r>
        <w:rPr>
          <w:rFonts w:ascii="Times New Roman" w:hAnsi="Times New Roman"/>
          <w:b w:val="false"/>
          <w:i w:val="false"/>
          <w:color w:val="000000"/>
          <w:sz w:val="22"/>
        </w:rPr>
        <w:t>(88GA,SF608).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is not a local government entity, the applicant must demonstrate support from the local government entity as evidenced by a letter of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and its proposed project must serve a city that has a population of 20,000 or less and that is not contiguous to a city with a population of 40,000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the capacity for administering a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must provide a cash match of at least 50 cents for every dollar awarded as a grant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that the project does not consist of ongoing expenses for existing projects 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29.4(2)</w:t>
      </w:r>
      <w:r>
        <w:rPr>
          <w:rFonts w:ascii="Times New Roman" w:hAnsi="Times New Roman"/>
          <w:b w:val="false"/>
          <w:i w:val="false"/>
          <w:color w:val="000000"/>
          <w:sz w:val="22"/>
        </w:rPr>
        <w:t> </w:t>
      </w:r>
      <w:r>
        <w:rPr>
          <w:rFonts w:ascii="Times New Roman" w:hAnsi="Times New Roman"/>
          <w:b w:val="false"/>
          <w:i/>
          <w:color w:val="000000"/>
          <w:sz w:val="22"/>
        </w:rPr>
        <w:t xml:space="preserve">Application scoring criteria. </w:t>
      </w:r>
      <w:r>
        <w:rPr>
          <w:rFonts w:ascii="Times New Roman" w:hAnsi="Times New Roman"/>
          <w:b w:val="false"/>
          <w:i w:val="false"/>
          <w:color w:val="000000"/>
          <w:sz w:val="22"/>
        </w:rPr>
        <w:t>All completed applications will be reviewed and scored. Each application will be scored using criteria set forth by the authority, which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Alignment with program purpose. The application should demonstrate that the project aligns with the program purpose by developing a nontraditional, concrete solution to increase rural community vibrancy.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Innovation. The application should demonstrate that the project will address rural challenges through exceptional and creative solutions.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Replicability. The application should demonstrate a clear opportunity for successful replication in rural communities across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Roles defined. The application should identify and describe the roles of all partners involved in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Project goals and timeline. The application should demonstrate clearly defined, measurable goals and a timeline for execution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Project budget and financing. The application should include a complete budget that provides clear justification for all costs. The application should also demonstrate secured financing and that the cash match requirement has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Additional points. Extra consideration is provided to projects identified in an Iowa great places agreement as well as those located in a community with a population of 10,000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29.4(3)</w:t>
      </w:r>
      <w:r>
        <w:rPr>
          <w:rFonts w:ascii="Times New Roman" w:hAnsi="Times New Roman"/>
          <w:b w:val="false"/>
          <w:i w:val="false"/>
          <w:color w:val="000000"/>
          <w:sz w:val="22"/>
        </w:rPr>
        <w:t> </w:t>
      </w:r>
      <w:r>
        <w:rPr>
          <w:rFonts w:ascii="Times New Roman" w:hAnsi="Times New Roman"/>
          <w:b w:val="false"/>
          <w:i/>
          <w:color w:val="000000"/>
          <w:sz w:val="22"/>
        </w:rPr>
        <w:t xml:space="preserve">Funding decisions. </w:t>
      </w:r>
      <w:r>
        <w:rPr>
          <w:rFonts w:ascii="Times New Roman" w:hAnsi="Times New Roman"/>
          <w:b w:val="false"/>
          <w:i w:val="false"/>
          <w:color w:val="000000"/>
          <w:sz w:val="22"/>
        </w:rPr>
        <w:t>Funding decisions will be made using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Staff review. </w:t>
      </w:r>
      <w:r>
        <w:rPr>
          <w:rFonts w:ascii="Times New Roman" w:hAnsi="Times New Roman"/>
          <w:b w:val="false"/>
          <w:i w:val="false"/>
          <w:color w:val="000000"/>
          <w:sz w:val="22"/>
        </w:rPr>
        <w:t>Each application will be reviewed by staff for eligibility and completeness. Eligible and complete applications will be sent to a grant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Grant committee review and recommendation. </w:t>
      </w:r>
      <w:r>
        <w:rPr>
          <w:rFonts w:ascii="Times New Roman" w:hAnsi="Times New Roman"/>
          <w:b w:val="false"/>
          <w:i w:val="false"/>
          <w:color w:val="000000"/>
          <w:sz w:val="22"/>
        </w:rPr>
        <w:t xml:space="preserve">Following staff review, a grant committee will review and score applications using the criteria in subrule </w:t>
      </w:r>
      <w:hyperlink r:id="rId9">
        <w:r>
          <w:rPr>
            <w:rStyle w:val="Hyperlink"/>
            <w:rFonts w:ascii="Times New Roman" w:hAnsi="Times New Roman"/>
            <w:b w:val="false"/>
            <w:i w:val="false"/>
            <w:color w:val="000000"/>
            <w:sz w:val="22"/>
          </w:rPr>
          <w:t>29.4(2)</w:t>
        </w:r>
      </w:hyperlink>
      <w:r>
        <w:rPr>
          <w:rFonts w:ascii="Times New Roman" w:hAnsi="Times New Roman"/>
          <w:b w:val="false"/>
          <w:i w:val="false"/>
          <w:color w:val="000000"/>
          <w:sz w:val="22"/>
        </w:rPr>
        <w:t xml:space="preserve"> and will make funding recommendations. The committee may utilize an outside technical panel if the committee determines additional expertise is necessary to review and score the application. The application and score will be referred to the director with a recommendation as to whether to fund the project and, if funding is recommended, a recommendation as to the amount of the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Director’s decision. </w:t>
      </w:r>
      <w:r>
        <w:rPr>
          <w:rFonts w:ascii="Times New Roman" w:hAnsi="Times New Roman"/>
          <w:b w:val="false"/>
          <w:i w:val="false"/>
          <w:color w:val="000000"/>
          <w:sz w:val="22"/>
        </w:rPr>
        <w:t>The director will make the final funding decision on each application, taking into consideration the amount of available funding and the grant committee’s recommendation. The director may approve, deny, or defer funding for any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Each applicant will be notified in writing of the funding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9300C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261—29.5</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Agreement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29.5(1)</w:t>
      </w:r>
      <w:r>
        <w:rPr>
          <w:rFonts w:ascii="Times New Roman" w:hAnsi="Times New Roman"/>
          <w:b w:val="false"/>
          <w:i w:val="false"/>
          <w:color w:val="000000"/>
          <w:sz w:val="22"/>
        </w:rPr>
        <w:t> </w:t>
      </w:r>
      <w:r>
        <w:rPr>
          <w:rFonts w:ascii="Times New Roman" w:hAnsi="Times New Roman"/>
          <w:b w:val="false"/>
          <w:i w:val="false"/>
          <w:color w:val="000000"/>
          <w:sz w:val="22"/>
        </w:rPr>
        <w:t>Each applicant that is approved for financial assistance under the program shall enter into an agreement with the authority for the provision of such financial assistance. The agreement will establish the terms on which financial assistance is to be provided and may include any other terms reasonably necessary for the efficient administration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29.5(2)</w:t>
      </w:r>
      <w:r>
        <w:rPr>
          <w:rFonts w:ascii="Times New Roman" w:hAnsi="Times New Roman"/>
          <w:b w:val="false"/>
          <w:i w:val="false"/>
          <w:color w:val="000000"/>
          <w:sz w:val="22"/>
        </w:rPr>
        <w:t> </w:t>
      </w:r>
      <w:r>
        <w:rPr>
          <w:rFonts w:ascii="Times New Roman" w:hAnsi="Times New Roman"/>
          <w:b w:val="false"/>
          <w:i w:val="false"/>
          <w:color w:val="000000"/>
          <w:sz w:val="22"/>
        </w:rPr>
        <w:t>The authority and the applicant may amend the agreement at any time upon the mutual agreement of both the authority and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29.5(3)</w:t>
      </w:r>
      <w:r>
        <w:rPr>
          <w:rFonts w:ascii="Times New Roman" w:hAnsi="Times New Roman"/>
          <w:b w:val="false"/>
          <w:i w:val="false"/>
          <w:color w:val="000000"/>
          <w:sz w:val="22"/>
        </w:rPr>
        <w:t> </w:t>
      </w:r>
      <w:r>
        <w:rPr>
          <w:rFonts w:ascii="Times New Roman" w:hAnsi="Times New Roman"/>
          <w:b w:val="false"/>
          <w:i w:val="false"/>
          <w:color w:val="000000"/>
          <w:sz w:val="22"/>
        </w:rPr>
        <w:t>A recipient under the program shall submit information reasonably required by the authority to make reports to the authority’s board, the governor’s office, or the general assembly.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9300C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2019 Iowa Acts, Senate File 608</w:t>
      </w:r>
      <w:r>
        <w:rPr>
          <w:rFonts w:ascii="Times New Roman" w:hAnsi="Times New Roman"/>
          <w:b w:val="false"/>
          <w:i w:val="false"/>
          <w:color w:val="000000"/>
          <w:sz w:val="22"/>
        </w:rPr>
        <w:t>, and Executive Order 11 (October 19, 2023).</w:t>
      </w:r>
    </w:p>
    <w:p>
      <w:pPr>
        <w:spacing w:before="0" w:after="0"/>
        <w:ind w:left="120"/>
        <w:jc w:val="center"/>
      </w:pPr>
      <w:r>
        <w:rPr>
          <w:rFonts w:ascii="Times New Roman" w:hAnsi="Times New Roman"/>
          <w:b w:val="false"/>
          <w:i w:val="false"/>
          <w:color w:val="000000"/>
          <w:sz w:val="21"/>
        </w:rPr>
        <w:t>[Filed ARC 5093C</w:t>
      </w:r>
      <w:r>
        <w:rPr>
          <w:rFonts w:ascii="Times New Roman" w:hAnsi="Times New Roman"/>
          <w:b w:val="false"/>
          <w:i w:val="false"/>
          <w:color w:val="000000"/>
          <w:sz w:val="21"/>
        </w:rPr>
        <w:t xml:space="preserve"> (Notice ARC 4775C, IAB 11/20/19)</w:t>
      </w:r>
      <w:r>
        <w:rPr>
          <w:rFonts w:ascii="Times New Roman" w:hAnsi="Times New Roman"/>
          <w:b w:val="false"/>
          <w:i w:val="false"/>
          <w:color w:val="000000"/>
          <w:sz w:val="21"/>
        </w:rPr>
        <w:t>, IAB 7/15/20, effective 8/19/20]</w:t>
      </w:r>
    </w:p>
    <w:p>
      <w:pPr>
        <w:spacing w:before="0" w:after="0"/>
        <w:ind w:left="120"/>
        <w:jc w:val="center"/>
      </w:pPr>
      <w:r>
        <w:rPr>
          <w:rFonts w:ascii="Times New Roman" w:hAnsi="Times New Roman"/>
          <w:b w:val="false"/>
          <w:i w:val="false"/>
          <w:color w:val="000000"/>
          <w:sz w:val="21"/>
        </w:rPr>
        <w:t>[Filed ARC 6319C</w:t>
      </w:r>
      <w:r>
        <w:rPr>
          <w:rFonts w:ascii="Times New Roman" w:hAnsi="Times New Roman"/>
          <w:b w:val="false"/>
          <w:i w:val="false"/>
          <w:color w:val="000000"/>
          <w:sz w:val="21"/>
        </w:rPr>
        <w:t xml:space="preserve"> (Notice ARC 6202C, IAB 2/23/22)</w:t>
      </w:r>
      <w:r>
        <w:rPr>
          <w:rFonts w:ascii="Times New Roman" w:hAnsi="Times New Roman"/>
          <w:b w:val="false"/>
          <w:i w:val="false"/>
          <w:color w:val="000000"/>
          <w:sz w:val="21"/>
        </w:rPr>
        <w:t>, IAB 5/18/22, effective 6/22/22]</w:t>
      </w:r>
    </w:p>
    <w:p>
      <w:pPr>
        <w:spacing w:before="0" w:after="0"/>
        <w:ind w:left="120"/>
        <w:jc w:val="center"/>
      </w:pPr>
      <w:r>
        <w:rPr>
          <w:rFonts w:ascii="Times New Roman" w:hAnsi="Times New Roman"/>
          <w:b w:val="false"/>
          <w:i w:val="false"/>
          <w:color w:val="000000"/>
          <w:sz w:val="21"/>
        </w:rPr>
        <w:t>[Filed ARC 6892C</w:t>
      </w:r>
      <w:r>
        <w:rPr>
          <w:rFonts w:ascii="Times New Roman" w:hAnsi="Times New Roman"/>
          <w:b w:val="false"/>
          <w:i w:val="false"/>
          <w:color w:val="000000"/>
          <w:sz w:val="21"/>
        </w:rPr>
        <w:t xml:space="preserve"> (Notice ARC 6737C, IAB 12/14/22)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9300C</w:t>
      </w:r>
      <w:r>
        <w:rPr>
          <w:rFonts w:ascii="Times New Roman" w:hAnsi="Times New Roman"/>
          <w:b w:val="false"/>
          <w:i w:val="false"/>
          <w:color w:val="000000"/>
          <w:sz w:val="21"/>
        </w:rPr>
        <w:t xml:space="preserve"> (Notice ARC 8927C, IAB 2/19/25)</w:t>
      </w:r>
      <w:r>
        <w:rPr>
          <w:rFonts w:ascii="Times New Roman" w:hAnsi="Times New Roman"/>
          <w:b w:val="false"/>
          <w:i w:val="false"/>
          <w:color w:val="000000"/>
          <w:sz w:val="21"/>
        </w:rPr>
        <w:t>, IAB 5/28/25, effective 7/2/25]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H.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ac/rule/261.29.5.pdf" Type="http://schemas.openxmlformats.org/officeDocument/2006/relationships/hyperlink" Id="rId7"/>
    <Relationship TargetMode="External" Target="https://www.legis.iowa.gov/docs/iac/rule/261.29.2.pdf" Type="http://schemas.openxmlformats.org/officeDocument/2006/relationships/hyperlink" Id="rId8"/>
    <Relationship TargetMode="External" Target="https://www.legis.iowa.gov/docs/iac/rule/261.29.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