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28</w:t>
      </w:r>
    </w:p>
    <w:p>
      <w:pPr>
        <w:spacing w:before="0" w:after="0"/>
        <w:ind w:left="120"/>
        <w:jc w:val="center"/>
      </w:pPr>
      <w:r>
        <w:rPr>
          <w:rFonts w:ascii="Times New Roman" w:hAnsi="Times New Roman"/>
          <w:b w:val="false"/>
          <w:i w:val="false"/>
          <w:color w:val="000000"/>
          <w:sz w:val="21"/>
        </w:rPr>
        <w:t>RURAL HOUSING NEEDS ASSESSMENT GRANT PROGRAM</w:t>
      </w:r>
    </w:p>
    <w:p>
      <w:pPr>
        <w:spacing w:before="0" w:after="0"/>
        <w:ind w:left="120"/>
        <w:jc w:val="center"/>
      </w:pPr>
      <w:r>
        <w:rPr>
          <w:rFonts w:ascii="Times New Roman" w:hAnsi="Times New Roman"/>
          <w:b w:val="false"/>
          <w:i w:val="false"/>
          <w:color w:val="000000"/>
          <w:sz w:val="14"/>
        </w:rPr>
        <w:t>[Prior to 02/22/23, see Economic Development Authority[261] Ch 220]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7/2/30</w:t>
      </w:r>
    </w:p>
    <w:p>
      <w:pPr>
        <w:spacing w:before="0" w:after="0"/>
        <w:ind w:left="120"/>
        <w:jc w:val="both"/>
      </w:pPr>
      <w:r>
        <w:rPr>
          <w:rFonts w:ascii="Times New Roman" w:hAnsi="Times New Roman"/>
          <w:b/>
          <w:i w:val="false"/>
          <w:color w:val="000000"/>
          <w:sz w:val="22"/>
        </w:rPr>
        <w:t>261—28.1</w:t>
      </w:r>
      <w:r>
        <w:rPr>
          <w:rFonts w:ascii="Times New Roman" w:hAnsi="Times New Roman"/>
          <w:b/>
          <w:i w:val="false"/>
          <w:color w:val="000000"/>
          <w:sz w:val="22"/>
        </w:rPr>
        <w:t xml:space="preserve">(88GA,SF608)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the rural housing needs assessment grant program is to support community efforts to interpret hard data with supplemental information and to help communities implement changes to development codes, local ordinances, and housing incentives according to the community’s needs.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9299C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261—28.2</w:t>
      </w:r>
      <w:r>
        <w:rPr>
          <w:rFonts w:ascii="Times New Roman" w:hAnsi="Times New Roman"/>
          <w:b/>
          <w:i w:val="false"/>
          <w:color w:val="000000"/>
          <w:sz w:val="22"/>
        </w:rPr>
        <w:t xml:space="preserve">(88GA,SF608)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purposes of this chapter unless the context otherwise requires: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“Applicant” </w:t>
      </w:r>
      <w:r>
        <w:rPr>
          <w:rFonts w:ascii="Times New Roman" w:hAnsi="Times New Roman"/>
          <w:b w:val="false"/>
          <w:i w:val="false"/>
          <w:color w:val="000000"/>
          <w:sz w:val="22"/>
        </w:rPr>
        <w:t>means an Iowa community applying for financial assistance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means the economic development authority created in Iowa Code section </w:t>
      </w:r>
      <w:hyperlink r:id="rId5">
        <w:r>
          <w:rPr>
            <w:rStyle w:val="Hyperlink"/>
            <w:rFonts w:ascii="Times New Roman" w:hAnsi="Times New Roman"/>
            <w:b w:val="false"/>
            <w:i w:val="false"/>
            <w:color w:val="000000"/>
            <w:sz w:val="22"/>
          </w:rPr>
          <w:t>15.105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w:t>
      </w:r>
      <w:r>
        <w:rPr>
          <w:rFonts w:ascii="Times New Roman" w:hAnsi="Times New Roman"/>
          <w:b w:val="false"/>
          <w:i w:val="false"/>
          <w:color w:val="000000"/>
          <w:sz w:val="22"/>
        </w:rPr>
        <w:t>means a county, an incorporated city, or a community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“Community designee” </w:t>
      </w:r>
      <w:r>
        <w:rPr>
          <w:rFonts w:ascii="Times New Roman" w:hAnsi="Times New Roman"/>
          <w:b w:val="false"/>
          <w:i w:val="false"/>
          <w:color w:val="000000"/>
          <w:sz w:val="22"/>
        </w:rPr>
        <w:t xml:space="preserve">means a legal entity established or designated by a county or incorporated city in an agreement pursuant to Iowa Code chapter </w:t>
      </w:r>
      <w:hyperlink r:id="rId6">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for the purposes of evaluating housing needs.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“Director” </w:t>
      </w:r>
      <w:r>
        <w:rPr>
          <w:rFonts w:ascii="Times New Roman" w:hAnsi="Times New Roman"/>
          <w:b w:val="false"/>
          <w:i w:val="false"/>
          <w:color w:val="000000"/>
          <w:sz w:val="22"/>
        </w:rPr>
        <w:t>means the director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“Financial assistance” </w:t>
      </w:r>
      <w:r>
        <w:rPr>
          <w:rFonts w:ascii="Times New Roman" w:hAnsi="Times New Roman"/>
          <w:b w:val="false"/>
          <w:i w:val="false"/>
          <w:color w:val="000000"/>
          <w:sz w:val="22"/>
        </w:rPr>
        <w:t>means a grant made by the authority to an applicant approved for funding under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“Program” </w:t>
      </w:r>
      <w:r>
        <w:rPr>
          <w:rFonts w:ascii="Times New Roman" w:hAnsi="Times New Roman"/>
          <w:b w:val="false"/>
          <w:i w:val="false"/>
          <w:color w:val="000000"/>
          <w:sz w:val="22"/>
        </w:rPr>
        <w:t>means the rural housing needs assessment grant program established in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9299C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261—28.3</w:t>
      </w:r>
      <w:r>
        <w:rPr>
          <w:rFonts w:ascii="Times New Roman" w:hAnsi="Times New Roman"/>
          <w:b/>
          <w:i w:val="false"/>
          <w:color w:val="000000"/>
          <w:sz w:val="22"/>
        </w:rPr>
        <w:t xml:space="preserve">(88GA,SF608) </w:t>
      </w:r>
      <w:r>
        <w:rPr>
          <w:rFonts w:ascii="Times New Roman" w:hAnsi="Times New Roman"/>
          <w:b/>
          <w:i w:val="false"/>
          <w:color w:val="000000"/>
          <w:sz w:val="22"/>
        </w:rPr>
        <w:t xml:space="preserve">Program description.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28.3(1)</w:t>
      </w:r>
      <w:r>
        <w:rPr>
          <w:rFonts w:ascii="Times New Roman" w:hAnsi="Times New Roman"/>
          <w:b w:val="false"/>
          <w:i w:val="false"/>
          <w:color w:val="000000"/>
          <w:sz w:val="22"/>
        </w:rPr>
        <w:t> </w:t>
      </w:r>
      <w:r>
        <w:rPr>
          <w:rFonts w:ascii="Times New Roman" w:hAnsi="Times New Roman"/>
          <w:b w:val="false"/>
          <w:i/>
          <w:color w:val="000000"/>
          <w:sz w:val="22"/>
        </w:rPr>
        <w:t xml:space="preserve">Amount, form, and timing of assistance. </w:t>
      </w:r>
      <w:r>
        <w:rPr>
          <w:rFonts w:ascii="Times New Roman" w:hAnsi="Times New Roman"/>
          <w:b w:val="false"/>
          <w:i w:val="false"/>
          <w:color w:val="000000"/>
          <w:sz w:val="22"/>
        </w:rPr>
        <w:t>The amount of assistance awarded will be determined by the authority and will be based on the total amount of funds available to the authority for the program and the costs specified in the application. The authority will establish a maximum grant award per application and a minimum grant award per application for each fiscal year in which funding is available. The authority will provide financial assistance in the form of a grant. Funds will be disbursed on a reimbursement basis for expenses incurred by the applicant after approval of an award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28.3(2)</w:t>
      </w:r>
      <w:r>
        <w:rPr>
          <w:rFonts w:ascii="Times New Roman" w:hAnsi="Times New Roman"/>
          <w:b w:val="false"/>
          <w:i w:val="false"/>
          <w:color w:val="000000"/>
          <w:sz w:val="22"/>
        </w:rPr>
        <w:t> </w:t>
      </w:r>
      <w:r>
        <w:rPr>
          <w:rFonts w:ascii="Times New Roman" w:hAnsi="Times New Roman"/>
          <w:b w:val="false"/>
          <w:i/>
          <w:color w:val="000000"/>
          <w:sz w:val="22"/>
        </w:rPr>
        <w:t xml:space="preserve">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Forms. </w:t>
      </w:r>
      <w:r>
        <w:rPr>
          <w:rFonts w:ascii="Times New Roman" w:hAnsi="Times New Roman"/>
          <w:b w:val="false"/>
          <w:i w:val="false"/>
          <w:color w:val="000000"/>
          <w:sz w:val="22"/>
        </w:rPr>
        <w:t>All applications and other filings related to the program shall be on such forms and in accordance with such instructions as may be established by the authority. Information about the program, the application, and application instructions may be obtained by contacting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Application period. </w:t>
      </w:r>
      <w:r>
        <w:rPr>
          <w:rFonts w:ascii="Times New Roman" w:hAnsi="Times New Roman"/>
          <w:b w:val="false"/>
          <w:i w:val="false"/>
          <w:color w:val="000000"/>
          <w:sz w:val="22"/>
        </w:rPr>
        <w:t>Each fiscal year during which funding is available, applications for financial assistance will only be accepted during the established application period, or periods, as identified by the authority on its website.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Completeness. </w:t>
      </w:r>
      <w:r>
        <w:rPr>
          <w:rFonts w:ascii="Times New Roman" w:hAnsi="Times New Roman"/>
          <w:b w:val="false"/>
          <w:i w:val="false"/>
          <w:color w:val="000000"/>
          <w:sz w:val="22"/>
        </w:rPr>
        <w:t>An application will not be considered submitted for review until the application is completed and all required supporting documentation and information are provided to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28.3(3)</w:t>
      </w:r>
      <w:r>
        <w:rPr>
          <w:rFonts w:ascii="Times New Roman" w:hAnsi="Times New Roman"/>
          <w:b w:val="false"/>
          <w:i w:val="false"/>
          <w:color w:val="000000"/>
          <w:sz w:val="22"/>
        </w:rPr>
        <w:t> </w:t>
      </w:r>
      <w:r>
        <w:rPr>
          <w:rFonts w:ascii="Times New Roman" w:hAnsi="Times New Roman"/>
          <w:b w:val="false"/>
          <w:i/>
          <w:color w:val="000000"/>
          <w:sz w:val="22"/>
        </w:rPr>
        <w:t xml:space="preserve">Use of funds.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An applicant shall use funds only for reimbursement of the costs directly related to a project. The authority may require documentation or other information establishing the actual costs incurred for a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For purposes of this subrule, “costs directly related” does not include any expenses specified as ineligible in the agreement entered pursuant to rule </w:t>
      </w:r>
      <w:hyperlink r:id="rId7">
        <w:r>
          <w:rPr>
            <w:rStyle w:val="Hyperlink"/>
            <w:rFonts w:ascii="Times New Roman" w:hAnsi="Times New Roman"/>
            <w:b w:val="false"/>
            <w:i w:val="false"/>
            <w:color w:val="000000"/>
            <w:sz w:val="22"/>
          </w:rPr>
          <w:t>261—28.5</w:t>
        </w:r>
      </w:hyperlink>
      <w:r>
        <w:rPr>
          <w:rFonts w:ascii="Times New Roman" w:hAnsi="Times New Roman"/>
          <w:b w:val="false"/>
          <w:i w:val="false"/>
          <w:color w:val="000000"/>
          <w:sz w:val="22"/>
        </w:rPr>
        <w:t>(88GA,SF608).</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9299C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261—28.4</w:t>
      </w:r>
      <w:r>
        <w:rPr>
          <w:rFonts w:ascii="Times New Roman" w:hAnsi="Times New Roman"/>
          <w:b/>
          <w:i w:val="false"/>
          <w:color w:val="000000"/>
          <w:sz w:val="22"/>
        </w:rPr>
        <w:t xml:space="preserve">(88GA,SF608) </w:t>
      </w:r>
      <w:r>
        <w:rPr>
          <w:rFonts w:ascii="Times New Roman" w:hAnsi="Times New Roman"/>
          <w:b/>
          <w:i w:val="false"/>
          <w:color w:val="000000"/>
          <w:sz w:val="22"/>
        </w:rPr>
        <w:t xml:space="preserve">Program eligibility, application scoring, and funding decisions.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28.4(1)</w:t>
      </w:r>
      <w:r>
        <w:rPr>
          <w:rFonts w:ascii="Times New Roman" w:hAnsi="Times New Roman"/>
          <w:b w:val="false"/>
          <w:i w:val="false"/>
          <w:color w:val="000000"/>
          <w:sz w:val="22"/>
        </w:rPr>
        <w:t> </w:t>
      </w:r>
      <w:r>
        <w:rPr>
          <w:rFonts w:ascii="Times New Roman" w:hAnsi="Times New Roman"/>
          <w:b w:val="false"/>
          <w:i/>
          <w:color w:val="000000"/>
          <w:sz w:val="22"/>
        </w:rPr>
        <w:t xml:space="preserve">Program eligibility. </w:t>
      </w:r>
      <w:r>
        <w:rPr>
          <w:rFonts w:ascii="Times New Roman" w:hAnsi="Times New Roman"/>
          <w:b w:val="false"/>
          <w:i w:val="false"/>
          <w:color w:val="000000"/>
          <w:sz w:val="22"/>
        </w:rPr>
        <w:t>An applicant must meet the following eligibility criteria to qualify for financial assistance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must be an Iowa community as defined in rule </w:t>
      </w:r>
      <w:hyperlink r:id="rId8">
        <w:r>
          <w:rPr>
            <w:rStyle w:val="Hyperlink"/>
            <w:rFonts w:ascii="Times New Roman" w:hAnsi="Times New Roman"/>
            <w:b w:val="false"/>
            <w:i w:val="false"/>
            <w:color w:val="000000"/>
            <w:sz w:val="22"/>
          </w:rPr>
          <w:t>261—28.2</w:t>
        </w:r>
      </w:hyperlink>
      <w:r>
        <w:rPr>
          <w:rFonts w:ascii="Times New Roman" w:hAnsi="Times New Roman"/>
          <w:b w:val="false"/>
          <w:i w:val="false"/>
          <w:color w:val="000000"/>
          <w:sz w:val="22"/>
        </w:rPr>
        <w:t>(88GA,SF608).</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that is an incorporated city must have a population of 20,000 or less and shall not be contiguous to a city with a population of 40,000 or greater. An applicant that is a county shall be one of the 88 least populous counties in the state. An applicant that is a community designee shall have entered an agreement pursuant to Iowa Code chapter </w:t>
      </w:r>
      <w:hyperlink r:id="rId9">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 xml:space="preserve"> with an incorporated city or county meeting the population criteria in this paragraph.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An eligible applicant will be allowed to submit only one application per application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applicant must demonstrate the capacity for administering a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The applicant must demonstrate the feasibility of the project’s proposed scope and timeline with the funds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applicant must identify and describe other sources of funding for the proposed assessment and related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The applicant must identify any partner organizations that will be utilized in interpreting and implementing the data collected through the assessment.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The applicant must provide a cash match of at least 50 cents for every dollar awarded as a grant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28.4(2)</w:t>
      </w:r>
      <w:r>
        <w:rPr>
          <w:rFonts w:ascii="Times New Roman" w:hAnsi="Times New Roman"/>
          <w:b w:val="false"/>
          <w:i w:val="false"/>
          <w:color w:val="000000"/>
          <w:sz w:val="22"/>
        </w:rPr>
        <w:t> </w:t>
      </w:r>
      <w:r>
        <w:rPr>
          <w:rFonts w:ascii="Times New Roman" w:hAnsi="Times New Roman"/>
          <w:b w:val="false"/>
          <w:i/>
          <w:color w:val="000000"/>
          <w:sz w:val="22"/>
        </w:rPr>
        <w:t xml:space="preserve">Application scoring criteria. </w:t>
      </w:r>
      <w:r>
        <w:rPr>
          <w:rFonts w:ascii="Times New Roman" w:hAnsi="Times New Roman"/>
          <w:b w:val="false"/>
          <w:i w:val="false"/>
          <w:color w:val="000000"/>
          <w:sz w:val="22"/>
        </w:rPr>
        <w:t>All completed applications will be reviewed and scored. Each application will be scored using criteria set forth by the authority, which may include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Applicant readiness and partnerships. The application should demonstrate that the applicant is actively addressing housing needs and has identified diverse partners.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Project goals and timeline. The application should demonstrate clearly defined, measurable goals and a timeline for execution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Project budget and financing. The application should include a complete budget that provides clear justification for all costs. The application should also demonstrate secured financing and that the cash match requirement has been met.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Additional points. Extra consideration is provided to applications that have projects identified in an Iowa great places agreement as well as those located in a community with a population of 10,000 or less.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28.4(3)</w:t>
      </w:r>
      <w:r>
        <w:rPr>
          <w:rFonts w:ascii="Times New Roman" w:hAnsi="Times New Roman"/>
          <w:b w:val="false"/>
          <w:i w:val="false"/>
          <w:color w:val="000000"/>
          <w:sz w:val="22"/>
        </w:rPr>
        <w:t> </w:t>
      </w:r>
      <w:r>
        <w:rPr>
          <w:rFonts w:ascii="Times New Roman" w:hAnsi="Times New Roman"/>
          <w:b w:val="false"/>
          <w:i/>
          <w:color w:val="000000"/>
          <w:sz w:val="22"/>
        </w:rPr>
        <w:t xml:space="preserve">Funding decisions. </w:t>
      </w:r>
      <w:r>
        <w:rPr>
          <w:rFonts w:ascii="Times New Roman" w:hAnsi="Times New Roman"/>
          <w:b w:val="false"/>
          <w:i w:val="false"/>
          <w:color w:val="000000"/>
          <w:sz w:val="22"/>
        </w:rPr>
        <w:t>Funding decisions will be made using the following process: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Staff review. </w:t>
      </w:r>
      <w:r>
        <w:rPr>
          <w:rFonts w:ascii="Times New Roman" w:hAnsi="Times New Roman"/>
          <w:b w:val="false"/>
          <w:i w:val="false"/>
          <w:color w:val="000000"/>
          <w:sz w:val="22"/>
        </w:rPr>
        <w:t>Each application will be reviewed by staff for eligibility and completeness. Eligible and complete applications will be sent to a grant committee.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Grant committee review and recommendation. </w:t>
      </w:r>
      <w:r>
        <w:rPr>
          <w:rFonts w:ascii="Times New Roman" w:hAnsi="Times New Roman"/>
          <w:b w:val="false"/>
          <w:i w:val="false"/>
          <w:color w:val="000000"/>
          <w:sz w:val="22"/>
        </w:rPr>
        <w:t xml:space="preserve">Following staff review, a grant committee will review and score applications using the criteria in subrule </w:t>
      </w:r>
      <w:hyperlink r:id="rId10">
        <w:r>
          <w:rPr>
            <w:rStyle w:val="Hyperlink"/>
            <w:rFonts w:ascii="Times New Roman" w:hAnsi="Times New Roman"/>
            <w:b w:val="false"/>
            <w:i w:val="false"/>
            <w:color w:val="000000"/>
            <w:sz w:val="22"/>
          </w:rPr>
          <w:t>28.4(2)</w:t>
        </w:r>
      </w:hyperlink>
      <w:r>
        <w:rPr>
          <w:rFonts w:ascii="Times New Roman" w:hAnsi="Times New Roman"/>
          <w:b w:val="false"/>
          <w:i w:val="false"/>
          <w:color w:val="000000"/>
          <w:sz w:val="22"/>
        </w:rPr>
        <w:t xml:space="preserve"> and will make funding recommendations. The committee may utilize an outside technical panel if the committee determines additional expertise is necessary to review and score the application. The application and score will be referred to the director with a recommendation as to whether to fund the project and, if funding is recommended, a recommendation as to the amount of the grant.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Director’s decision. </w:t>
      </w:r>
      <w:r>
        <w:rPr>
          <w:rFonts w:ascii="Times New Roman" w:hAnsi="Times New Roman"/>
          <w:b w:val="false"/>
          <w:i w:val="false"/>
          <w:color w:val="000000"/>
          <w:sz w:val="22"/>
        </w:rPr>
        <w:t>The director will make the final funding decision on each application, taking into consideration the amount of available funding and the grant committee’s recommendation. The director may approve, deny, or defer funding for any application.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Notification. </w:t>
      </w:r>
      <w:r>
        <w:rPr>
          <w:rFonts w:ascii="Times New Roman" w:hAnsi="Times New Roman"/>
          <w:b w:val="false"/>
          <w:i w:val="false"/>
          <w:color w:val="000000"/>
          <w:sz w:val="22"/>
        </w:rPr>
        <w:t>Each applicant will be notified in writing of the funding decision.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9299C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261—28.5</w:t>
      </w:r>
      <w:r>
        <w:rPr>
          <w:rFonts w:ascii="Times New Roman" w:hAnsi="Times New Roman"/>
          <w:b/>
          <w:i w:val="false"/>
          <w:color w:val="000000"/>
          <w:sz w:val="22"/>
        </w:rPr>
        <w:t xml:space="preserve">(88GA,SF608) </w:t>
      </w:r>
      <w:r>
        <w:rPr>
          <w:rFonts w:ascii="Times New Roman" w:hAnsi="Times New Roman"/>
          <w:b/>
          <w:i w:val="false"/>
          <w:color w:val="000000"/>
          <w:sz w:val="22"/>
        </w:rPr>
        <w:t xml:space="preserve">Agreement and reports.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28.5(1)</w:t>
      </w:r>
      <w:r>
        <w:rPr>
          <w:rFonts w:ascii="Times New Roman" w:hAnsi="Times New Roman"/>
          <w:b w:val="false"/>
          <w:i w:val="false"/>
          <w:color w:val="000000"/>
          <w:sz w:val="22"/>
        </w:rPr>
        <w:t> </w:t>
      </w:r>
      <w:r>
        <w:rPr>
          <w:rFonts w:ascii="Times New Roman" w:hAnsi="Times New Roman"/>
          <w:b w:val="false"/>
          <w:i w:val="false"/>
          <w:color w:val="000000"/>
          <w:sz w:val="22"/>
        </w:rPr>
        <w:t>Each applicant that is approved for financial assistance under the program shall enter into an agreement with the authority for the provision of such financial assistance. The agreement will establish the terms on which the financial assistance is to be provided and may include any other terms reasonably necessary for the efficient administration of the program.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28.5(2)</w:t>
      </w:r>
      <w:r>
        <w:rPr>
          <w:rFonts w:ascii="Times New Roman" w:hAnsi="Times New Roman"/>
          <w:b w:val="false"/>
          <w:i w:val="false"/>
          <w:color w:val="000000"/>
          <w:sz w:val="22"/>
        </w:rPr>
        <w:t> </w:t>
      </w:r>
      <w:r>
        <w:rPr>
          <w:rFonts w:ascii="Times New Roman" w:hAnsi="Times New Roman"/>
          <w:b w:val="false"/>
          <w:i w:val="false"/>
          <w:color w:val="000000"/>
          <w:sz w:val="22"/>
        </w:rPr>
        <w:t>The authority and the applicant may amend the agreement at any time upon the mutual agreement of both the authority and the applicant.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28.5(3)</w:t>
      </w:r>
      <w:r>
        <w:rPr>
          <w:rFonts w:ascii="Times New Roman" w:hAnsi="Times New Roman"/>
          <w:b w:val="false"/>
          <w:i w:val="false"/>
          <w:color w:val="000000"/>
          <w:sz w:val="22"/>
        </w:rPr>
        <w:t> </w:t>
      </w:r>
      <w:r>
        <w:rPr>
          <w:rFonts w:ascii="Times New Roman" w:hAnsi="Times New Roman"/>
          <w:b w:val="false"/>
          <w:i w:val="false"/>
          <w:color w:val="000000"/>
          <w:sz w:val="22"/>
        </w:rPr>
        <w:t>A recipient under the program shall submit information reasonably required by the authority to make reports to the authority’s board, the governor’s office, or the general assembly.</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9299C</w:t>
      </w:r>
      <w:r>
        <w:rPr>
          <w:rFonts w:ascii="Times New Roman" w:hAnsi="Times New Roman"/>
          <w:b w:val="false"/>
          <w:i w:val="false"/>
          <w:color w:val="000000"/>
          <w:sz w:val="16"/>
        </w:rPr>
        <w:t>, IAB 5/28/25, effective 7/2/25</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w:t>
      </w:r>
      <w:r>
        <w:rPr>
          <w:rFonts w:ascii="Times New Roman" w:hAnsi="Times New Roman"/>
          <w:b w:val="false"/>
          <w:i w:val="false"/>
          <w:color w:val="000000"/>
          <w:sz w:val="22"/>
        </w:rPr>
        <w:t>2019 Iowa Acts, Senate File 608</w:t>
      </w:r>
      <w:r>
        <w:rPr>
          <w:rFonts w:ascii="Times New Roman" w:hAnsi="Times New Roman"/>
          <w:b w:val="false"/>
          <w:i w:val="false"/>
          <w:color w:val="000000"/>
          <w:sz w:val="22"/>
        </w:rPr>
        <w:t>, and Executive Order 11 (October 19, 2023).</w:t>
      </w:r>
    </w:p>
    <w:p>
      <w:pPr>
        <w:spacing w:before="0" w:after="0"/>
        <w:ind w:left="120"/>
        <w:jc w:val="center"/>
      </w:pPr>
      <w:r>
        <w:rPr>
          <w:rFonts w:ascii="Times New Roman" w:hAnsi="Times New Roman"/>
          <w:b w:val="false"/>
          <w:i w:val="false"/>
          <w:color w:val="000000"/>
          <w:sz w:val="21"/>
        </w:rPr>
        <w:t>[Filed ARC 5092C</w:t>
      </w:r>
      <w:r>
        <w:rPr>
          <w:rFonts w:ascii="Times New Roman" w:hAnsi="Times New Roman"/>
          <w:b w:val="false"/>
          <w:i w:val="false"/>
          <w:color w:val="000000"/>
          <w:sz w:val="21"/>
        </w:rPr>
        <w:t xml:space="preserve"> (Notice ARC 4774C, IAB 11/20/19)</w:t>
      </w:r>
      <w:r>
        <w:rPr>
          <w:rFonts w:ascii="Times New Roman" w:hAnsi="Times New Roman"/>
          <w:b w:val="false"/>
          <w:i w:val="false"/>
          <w:color w:val="000000"/>
          <w:sz w:val="21"/>
        </w:rPr>
        <w:t>, IAB 7/15/20, effective 8/19/20]</w:t>
      </w:r>
    </w:p>
    <w:p>
      <w:pPr>
        <w:spacing w:before="0" w:after="0"/>
        <w:ind w:left="120"/>
        <w:jc w:val="center"/>
      </w:pPr>
      <w:r>
        <w:rPr>
          <w:rFonts w:ascii="Times New Roman" w:hAnsi="Times New Roman"/>
          <w:b w:val="false"/>
          <w:i w:val="false"/>
          <w:color w:val="000000"/>
          <w:sz w:val="21"/>
        </w:rPr>
        <w:t>[Filed ARC 5693C</w:t>
      </w:r>
      <w:r>
        <w:rPr>
          <w:rFonts w:ascii="Times New Roman" w:hAnsi="Times New Roman"/>
          <w:b w:val="false"/>
          <w:i w:val="false"/>
          <w:color w:val="000000"/>
          <w:sz w:val="21"/>
        </w:rPr>
        <w:t xml:space="preserve"> (Notice ARC 5535C, IAB 3/24/21)</w:t>
      </w:r>
      <w:r>
        <w:rPr>
          <w:rFonts w:ascii="Times New Roman" w:hAnsi="Times New Roman"/>
          <w:b w:val="false"/>
          <w:i w:val="false"/>
          <w:color w:val="000000"/>
          <w:sz w:val="21"/>
        </w:rPr>
        <w:t>, IAB 6/16/21, effective 7/21/21]</w:t>
      </w:r>
    </w:p>
    <w:p>
      <w:pPr>
        <w:spacing w:before="0" w:after="0"/>
        <w:ind w:left="120"/>
        <w:jc w:val="center"/>
      </w:pPr>
      <w:r>
        <w:rPr>
          <w:rFonts w:ascii="Times New Roman" w:hAnsi="Times New Roman"/>
          <w:b w:val="false"/>
          <w:i w:val="false"/>
          <w:color w:val="000000"/>
          <w:sz w:val="21"/>
        </w:rPr>
        <w:t>[Filed ARC 6319C</w:t>
      </w:r>
      <w:r>
        <w:rPr>
          <w:rFonts w:ascii="Times New Roman" w:hAnsi="Times New Roman"/>
          <w:b w:val="false"/>
          <w:i w:val="false"/>
          <w:color w:val="000000"/>
          <w:sz w:val="21"/>
        </w:rPr>
        <w:t xml:space="preserve"> (Notice ARC 6202C, IAB 2/23/22)</w:t>
      </w:r>
      <w:r>
        <w:rPr>
          <w:rFonts w:ascii="Times New Roman" w:hAnsi="Times New Roman"/>
          <w:b w:val="false"/>
          <w:i w:val="false"/>
          <w:color w:val="000000"/>
          <w:sz w:val="21"/>
        </w:rPr>
        <w:t>, IAB 5/18/22, effective 6/22/22]</w:t>
      </w:r>
    </w:p>
    <w:p>
      <w:pPr>
        <w:spacing w:before="0" w:after="0"/>
        <w:ind w:left="120"/>
        <w:jc w:val="center"/>
      </w:pPr>
      <w:r>
        <w:rPr>
          <w:rFonts w:ascii="Times New Roman" w:hAnsi="Times New Roman"/>
          <w:b w:val="false"/>
          <w:i w:val="false"/>
          <w:color w:val="000000"/>
          <w:sz w:val="21"/>
        </w:rPr>
        <w:t>[Filed ARC 6892C</w:t>
      </w:r>
      <w:r>
        <w:rPr>
          <w:rFonts w:ascii="Times New Roman" w:hAnsi="Times New Roman"/>
          <w:b w:val="false"/>
          <w:i w:val="false"/>
          <w:color w:val="000000"/>
          <w:sz w:val="21"/>
        </w:rPr>
        <w:t xml:space="preserve"> (Notice ARC 6737C, IAB 12/14/22)</w:t>
      </w:r>
      <w:r>
        <w:rPr>
          <w:rFonts w:ascii="Times New Roman" w:hAnsi="Times New Roman"/>
          <w:b w:val="false"/>
          <w:i w:val="false"/>
          <w:color w:val="000000"/>
          <w:sz w:val="21"/>
        </w:rPr>
        <w:t>, IAB 2/22/23, effective 3/29/23]</w:t>
      </w:r>
    </w:p>
    <w:p>
      <w:pPr>
        <w:spacing w:before="0" w:after="0"/>
        <w:ind w:left="120"/>
        <w:jc w:val="center"/>
      </w:pPr>
      <w:r>
        <w:rPr>
          <w:rFonts w:ascii="Times New Roman" w:hAnsi="Times New Roman"/>
          <w:b w:val="false"/>
          <w:i w:val="false"/>
          <w:color w:val="000000"/>
          <w:sz w:val="21"/>
        </w:rPr>
        <w:t>[Filed ARC 9299C</w:t>
      </w:r>
      <w:r>
        <w:rPr>
          <w:rFonts w:ascii="Times New Roman" w:hAnsi="Times New Roman"/>
          <w:b w:val="false"/>
          <w:i w:val="false"/>
          <w:color w:val="000000"/>
          <w:sz w:val="21"/>
        </w:rPr>
        <w:t xml:space="preserve"> (Notice ARC 8928C, IAB 2/19/25)</w:t>
      </w:r>
      <w:r>
        <w:rPr>
          <w:rFonts w:ascii="Times New Roman" w:hAnsi="Times New Roman"/>
          <w:b w:val="false"/>
          <w:i w:val="false"/>
          <w:color w:val="000000"/>
          <w:sz w:val="21"/>
        </w:rPr>
        <w:t>, IAB 5/28/25, effective 7/2/25]</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5.105.pdf" Type="http://schemas.openxmlformats.org/officeDocument/2006/relationships/hyperlink" Id="rId5"/>
    <Relationship TargetMode="External" Target="https://www.legis.iowa.gov/docs/ico/chapter/28E.pdf" Type="http://schemas.openxmlformats.org/officeDocument/2006/relationships/hyperlink" Id="rId6"/>
    <Relationship TargetMode="External" Target="https://www.legis.iowa.gov/docs/iac/rule/261.28.5.pdf" Type="http://schemas.openxmlformats.org/officeDocument/2006/relationships/hyperlink" Id="rId7"/>
    <Relationship TargetMode="External" Target="https://www.legis.iowa.gov/docs/iac/rule/261.28.2.pdf" Type="http://schemas.openxmlformats.org/officeDocument/2006/relationships/hyperlink" Id="rId8"/>
    <Relationship TargetMode="External" Target="https://www.legis.iowa.gov/docs/ico/chapter/28E.pdf" Type="http://schemas.openxmlformats.org/officeDocument/2006/relationships/hyperlink" Id="rId9"/>
    <Relationship TargetMode="External" Target="https://www.legis.iowa.gov/docs/iac/rule/261.28.4.pdf" Type="http://schemas.openxmlformats.org/officeDocument/2006/relationships/hyperlink"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