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VARIANCE PROCEDURES FOR TAX INCREMENT FINANCING (TIF) HOUSING PROJECTS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261—26.1</w:t>
      </w:r>
      <w:r>
        <w:rPr>
          <w:rFonts w:ascii="Times New Roman" w:hAnsi="Times New Roman"/>
          <w:b/>
          <w:i w:val="false"/>
          <w:color w:val="000000"/>
          <w:sz w:val="22"/>
        </w:rPr>
        <w:t xml:space="preserve">(403) </w:t>
      </w:r>
      <w:r>
        <w:rPr>
          <w:rFonts w:ascii="Times New Roman" w:hAnsi="Times New Roman"/>
          <w:b/>
          <w:i w:val="false"/>
          <w:color w:val="000000"/>
          <w:sz w:val="22"/>
        </w:rPr>
        <w:t xml:space="preserve">Purpose. </w:t>
      </w:r>
      <w:r>
        <w:rPr>
          <w:rFonts w:ascii="Times New Roman" w:hAnsi="Times New Roman"/>
          <w:b w:val="false"/>
          <w:i w:val="false"/>
          <w:color w:val="000000"/>
          <w:sz w:val="22"/>
        </w:rPr>
        <w:t>The authority is given the responsibility to rule on requests for variances in the percentage of low- and moderate-income benefit required in certain tax increment financing (TIF) districts for residential development as prescribed in the law. These rules establish procedures and criteria for variance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261—26.2</w:t>
      </w:r>
      <w:r>
        <w:rPr>
          <w:rFonts w:ascii="Times New Roman" w:hAnsi="Times New Roman"/>
          <w:b/>
          <w:i w:val="false"/>
          <w:color w:val="000000"/>
          <w:sz w:val="22"/>
        </w:rPr>
        <w:t xml:space="preserve">(403)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project” </w:t>
      </w:r>
      <w:r>
        <w:rPr>
          <w:rFonts w:ascii="Times New Roman" w:hAnsi="Times New Roman"/>
          <w:b w:val="false"/>
          <w:i w:val="false"/>
          <w:color w:val="000000"/>
          <w:sz w:val="22"/>
        </w:rPr>
        <w:t xml:space="preserve">means a project in an urban renewal area established solely upon findings under Iowa Code section </w:t>
      </w:r>
      <w:hyperlink r:id="rId6">
        <w:r>
          <w:rPr>
            <w:rStyle w:val="Hyperlink"/>
            <w:rFonts w:ascii="Times New Roman" w:hAnsi="Times New Roman"/>
            <w:b w:val="false"/>
            <w:i w:val="false"/>
            <w:color w:val="000000"/>
            <w:sz w:val="22"/>
          </w:rPr>
          <w:t>403.2(3)</w:t>
        </w:r>
      </w:hyperlink>
      <w:r>
        <w:rPr>
          <w:rFonts w:ascii="Times New Roman" w:hAnsi="Times New Roman"/>
          <w:b w:val="false"/>
          <w:i w:val="false"/>
          <w:color w:val="000000"/>
          <w:sz w:val="22"/>
        </w:rPr>
        <w:t xml:space="preserve"> that is primarily intended to support housing activities. These may include but are not limited to the following: public streets and utilities, site preparation, housing rehabilitation, real property acquisition, new housing construction, and conversion of existing structures into housing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or moderate-income families”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“LMI families” </w:t>
      </w:r>
      <w:r>
        <w:rPr>
          <w:rFonts w:ascii="Times New Roman" w:hAnsi="Times New Roman"/>
          <w:b w:val="false"/>
          <w:i w:val="false"/>
          <w:color w:val="000000"/>
          <w:sz w:val="22"/>
        </w:rPr>
        <w:t xml:space="preserve">means the same as “low or moderate income families” as defined in Iowa Code section </w:t>
      </w:r>
      <w:hyperlink r:id="rId7">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403.17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261—26.3</w:t>
      </w:r>
      <w:r>
        <w:rPr>
          <w:rFonts w:ascii="Times New Roman" w:hAnsi="Times New Roman"/>
          <w:b/>
          <w:i w:val="false"/>
          <w:color w:val="000000"/>
          <w:sz w:val="22"/>
        </w:rPr>
        <w:t xml:space="preserve">(403) </w:t>
      </w:r>
      <w:r>
        <w:rPr>
          <w:rFonts w:ascii="Times New Roman" w:hAnsi="Times New Roman"/>
          <w:b/>
          <w:i w:val="false"/>
          <w:color w:val="000000"/>
          <w:sz w:val="22"/>
        </w:rPr>
        <w:t xml:space="preserve">Variance request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A municipality may request a variance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Requests for a variance shall be submitted on forms prescribed by the authority.  The authority may request additional information from the municipality as part of the application review. Application information will be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26.3(3)</w:t>
      </w:r>
      <w:r>
        <w:rPr>
          <w:rFonts w:ascii="Times New Roman" w:hAnsi="Times New Roman"/>
          <w:b w:val="false"/>
          <w:i w:val="false"/>
          <w:color w:val="000000"/>
          <w:sz w:val="22"/>
        </w:rPr>
        <w:t> </w:t>
      </w:r>
      <w:r>
        <w:rPr>
          <w:rFonts w:ascii="Times New Roman" w:hAnsi="Times New Roman"/>
          <w:b w:val="false"/>
          <w:i w:val="false"/>
          <w:color w:val="000000"/>
          <w:sz w:val="22"/>
        </w:rPr>
        <w:t>The authority may modify the request to maximize the level of benefit to low- or moderate-income families, while preserving the financial feasibility of the TIF-supported housing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26.3(4)</w:t>
      </w:r>
      <w:r>
        <w:rPr>
          <w:rFonts w:ascii="Times New Roman" w:hAnsi="Times New Roman"/>
          <w:b w:val="false"/>
          <w:i w:val="false"/>
          <w:color w:val="000000"/>
          <w:sz w:val="22"/>
        </w:rPr>
        <w:t> </w:t>
      </w:r>
      <w:r>
        <w:rPr>
          <w:rFonts w:ascii="Times New Roman" w:hAnsi="Times New Roman"/>
          <w:b w:val="false"/>
          <w:i w:val="false"/>
          <w:color w:val="000000"/>
          <w:sz w:val="22"/>
        </w:rPr>
        <w:t>The authority will notify municipalities of its decision in writing. If the request is approved, the authority will indicate the level of the variance and the conditions for compliance with the variance. If the request is denied, the authority will state its reasons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261—26.4</w:t>
      </w:r>
      <w:r>
        <w:rPr>
          <w:rFonts w:ascii="Times New Roman" w:hAnsi="Times New Roman"/>
          <w:b/>
          <w:i w:val="false"/>
          <w:color w:val="000000"/>
          <w:sz w:val="22"/>
        </w:rPr>
        <w:t xml:space="preserve">(403) </w:t>
      </w:r>
      <w:r>
        <w:rPr>
          <w:rFonts w:ascii="Times New Roman" w:hAnsi="Times New Roman"/>
          <w:b/>
          <w:i w:val="false"/>
          <w:color w:val="000000"/>
          <w:sz w:val="22"/>
        </w:rPr>
        <w:t xml:space="preserve">Criteria for review. </w:t>
      </w:r>
      <w:r>
        <w:rPr>
          <w:rFonts w:ascii="Times New Roman" w:hAnsi="Times New Roman"/>
          <w:b w:val="false"/>
          <w:i w:val="false"/>
          <w:color w:val="000000"/>
          <w:sz w:val="22"/>
        </w:rPr>
        <w:t>The authority will review the application on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Financial feasibility of the housing project with and without a variance of the low- and moderate-income benefit percentage.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Percentage of low- or moderate-income families in the community at the time of application as determined by the latest United States Department of Housing and Urban Development, Section 8, income guidelines.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Plan to utilize funds for housing activities benefitting low- or moderate-income families.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factors that may impact the project’s need for a variance as determined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403.22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ARC 9298C</w:t>
      </w:r>
      <w:r>
        <w:rPr>
          <w:rFonts w:ascii="Times New Roman" w:hAnsi="Times New Roman"/>
          <w:b w:val="false"/>
          <w:i w:val="false"/>
          <w:color w:val="000000"/>
          <w:sz w:val="21"/>
        </w:rPr>
        <w:t xml:space="preserve"> (Notice ARC 8925C,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403.2.pdf" Type="http://schemas.openxmlformats.org/officeDocument/2006/relationships/hyperlink" Id="rId6"/>
    <Relationship TargetMode="External" Target="https://www.legis.iowa.gov/docs/ico/chapter/403.17.pdf" Type="http://schemas.openxmlformats.org/officeDocument/2006/relationships/hyperlink" Id="rId7"/>
    <Relationship TargetMode="External" Target="https://www.legis.iowa.gov/docs/ico/chapter/403.17.pdf" Type="http://schemas.openxmlformats.org/officeDocument/2006/relationships/hyperlink" Id="rId8"/>
    <Relationship TargetMode="External" Target="https://www.legis.iowa.gov/docs/ico/chapter/403.2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