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IOWA COMMUNITY DEVELOPMENT BLOCK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261—23.1</w:t>
      </w:r>
      <w:r>
        <w:rPr>
          <w:rFonts w:ascii="Times New Roman" w:hAnsi="Times New Roman"/>
          <w:b/>
          <w:i w:val="false"/>
          <w:color w:val="000000"/>
          <w:sz w:val="22"/>
        </w:rPr>
        <w:t xml:space="preserve">(15) </w:t>
      </w:r>
      <w:r>
        <w:rPr>
          <w:rFonts w:ascii="Times New Roman" w:hAnsi="Times New Roman"/>
          <w:b/>
          <w:i w:val="false"/>
          <w:color w:val="000000"/>
          <w:sz w:val="22"/>
        </w:rPr>
        <w:t xml:space="preserve">Purpose. </w:t>
      </w:r>
      <w:r>
        <w:rPr>
          <w:rFonts w:ascii="Times New Roman" w:hAnsi="Times New Roman"/>
          <w:b w:val="false"/>
          <w:i w:val="false"/>
          <w:color w:val="000000"/>
          <w:sz w:val="22"/>
        </w:rPr>
        <w:t>The primary purpose of the community development block grant program is the development of viable communities by providing decent housing and suitable living environments and expanding economic opportunities, primarily for persons of low and moderate income.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9996C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When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action plan” </w:t>
      </w:r>
      <w:r>
        <w:rPr>
          <w:rFonts w:ascii="Times New Roman" w:hAnsi="Times New Roman"/>
          <w:b w:val="false"/>
          <w:i w:val="false"/>
          <w:color w:val="000000"/>
          <w:sz w:val="22"/>
        </w:rPr>
        <w:t>means the annual plan required and approved by HUD that outlines the state’s processes and procedures for distribution of CDBG funds. The annual action plan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“Authority’s website” </w:t>
      </w:r>
      <w:r>
        <w:rPr>
          <w:rFonts w:ascii="Times New Roman" w:hAnsi="Times New Roman"/>
          <w:b w:val="false"/>
          <w:i w:val="false"/>
          <w:color w:val="000000"/>
          <w:sz w:val="22"/>
        </w:rPr>
        <w:t xml:space="preserve">means the information and related content found at </w:t>
      </w:r>
      <w:hyperlink r:id="rId6">
        <w:r>
          <w:rPr>
            <w:rStyle w:val="Hyperlink"/>
            <w:rFonts w:ascii="Times New Roman" w:hAnsi="Times New Roman"/>
            <w:b w:val="false"/>
            <w:i w:val="false"/>
            <w:color w:val="000000"/>
            <w:sz w:val="22"/>
            <w:u w:val="single"/>
          </w:rPr>
          <w:t>opportunityiowa.gov</w:t>
        </w:r>
      </w:hyperlink>
      <w:r>
        <w:rPr>
          <w:rFonts w:ascii="Times New Roman" w:hAnsi="Times New Roman"/>
          <w:b w:val="false"/>
          <w:i w:val="false"/>
          <w:color w:val="000000"/>
          <w:sz w:val="22"/>
        </w:rPr>
        <w:t xml:space="preserve"> and may include integrated content at affiliate sites.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“CDBG” </w:t>
      </w:r>
      <w:r>
        <w:rPr>
          <w:rFonts w:ascii="Times New Roman" w:hAnsi="Times New Roman"/>
          <w:b w:val="false"/>
          <w:i w:val="false"/>
          <w:color w:val="000000"/>
          <w:sz w:val="22"/>
        </w:rPr>
        <w:t>means community development block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“Citizen participation plan” </w:t>
      </w:r>
      <w:r>
        <w:rPr>
          <w:rFonts w:ascii="Times New Roman" w:hAnsi="Times New Roman"/>
          <w:b w:val="false"/>
          <w:i w:val="false"/>
          <w:color w:val="000000"/>
          <w:sz w:val="22"/>
        </w:rPr>
        <w:t>means the plan required and approved by HUD that describes the state’s process for including citizen participation in development of its consolidated plan and annual action plan. The citizen participation plan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“Consolidated plan” </w:t>
      </w:r>
      <w:r>
        <w:rPr>
          <w:rFonts w:ascii="Times New Roman" w:hAnsi="Times New Roman"/>
          <w:b w:val="false"/>
          <w:i w:val="false"/>
          <w:color w:val="000000"/>
          <w:sz w:val="22"/>
        </w:rPr>
        <w:t>means the five-year plan required and approved by HUD that establishes goals and objectives for the state’s CDBG program. The consolidated plan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“HUD” </w:t>
      </w:r>
      <w:r>
        <w:rPr>
          <w:rFonts w:ascii="Times New Roman" w:hAnsi="Times New Roman"/>
          <w:b w:val="false"/>
          <w:i w:val="false"/>
          <w:color w:val="000000"/>
          <w:sz w:val="22"/>
        </w:rPr>
        <w:t>means the U.S. Department of Housing and Urban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“Management guide” </w:t>
      </w:r>
      <w:r>
        <w:rPr>
          <w:rFonts w:ascii="Times New Roman" w:hAnsi="Times New Roman"/>
          <w:b w:val="false"/>
          <w:i w:val="false"/>
          <w:color w:val="000000"/>
          <w:sz w:val="22"/>
        </w:rPr>
        <w:t>means the administrative reference manual published by the authority for each program year. The management guide is available on the authority’s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year” </w:t>
      </w:r>
      <w:r>
        <w:rPr>
          <w:rFonts w:ascii="Times New Roman" w:hAnsi="Times New Roman"/>
          <w:b w:val="false"/>
          <w:i w:val="false"/>
          <w:color w:val="000000"/>
          <w:sz w:val="22"/>
        </w:rPr>
        <w:t>means the annual period beginning January 1 and ending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“Recipient” </w:t>
      </w:r>
      <w:r>
        <w:rPr>
          <w:rFonts w:ascii="Times New Roman" w:hAnsi="Times New Roman"/>
          <w:b w:val="false"/>
          <w:i w:val="false"/>
          <w:color w:val="000000"/>
          <w:sz w:val="22"/>
        </w:rPr>
        <w:t>means a local government entity awarded CDBG funds under any CDBG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9996C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261—23.3</w:t>
      </w:r>
      <w:r>
        <w:rPr>
          <w:rFonts w:ascii="Times New Roman" w:hAnsi="Times New Roman"/>
          <w:b/>
          <w:i w:val="false"/>
          <w:color w:val="000000"/>
          <w:sz w:val="22"/>
        </w:rPr>
        <w:t xml:space="preserve">(15) </w:t>
      </w:r>
      <w:r>
        <w:rPr>
          <w:rFonts w:ascii="Times New Roman" w:hAnsi="Times New Roman"/>
          <w:b/>
          <w:i w:val="false"/>
          <w:color w:val="000000"/>
          <w:sz w:val="22"/>
        </w:rPr>
        <w:t xml:space="preserve">Annual action plan. </w:t>
      </w:r>
      <w:r>
        <w:rPr>
          <w:rFonts w:ascii="Times New Roman" w:hAnsi="Times New Roman"/>
          <w:b w:val="false"/>
          <w:i w:val="false"/>
          <w:color w:val="000000"/>
          <w:sz w:val="22"/>
        </w:rPr>
        <w:t>The authority will prepare a CDBG annual action plan for submittal to and approval by HUD. The plan will provide a description of the activities and programs that will take place during the year to meet goals established in the consolidated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val="false"/>
          <w:color w:val="000000"/>
          <w:sz w:val="22"/>
        </w:rPr>
        <w:t>The authority will follow the state’s citizen participation plan during the development of the annual action plan. A draft annual action plan will be available on the authority’s website for 30 days for public review and comment. The authority will hold a public hearing during the comment period to collect public input on the plan prior to its submittal to HUD.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val="false"/>
          <w:color w:val="000000"/>
          <w:sz w:val="22"/>
        </w:rPr>
        <w:t>The annual action plan will include the proposed CDBG program funding allocation.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9996C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261—23.4</w:t>
      </w:r>
      <w:r>
        <w:rPr>
          <w:rFonts w:ascii="Times New Roman" w:hAnsi="Times New Roman"/>
          <w:b/>
          <w:i w:val="false"/>
          <w:color w:val="000000"/>
          <w:sz w:val="22"/>
        </w:rPr>
        <w:t xml:space="preserve">(15) </w:t>
      </w:r>
      <w:r>
        <w:rPr>
          <w:rFonts w:ascii="Times New Roman" w:hAnsi="Times New Roman"/>
          <w:b/>
          <w:i w:val="false"/>
          <w:color w:val="000000"/>
          <w:sz w:val="22"/>
        </w:rPr>
        <w:t xml:space="preserve">Allocation of funds. </w:t>
      </w:r>
      <w:r>
        <w:rPr>
          <w:rFonts w:ascii="Times New Roman" w:hAnsi="Times New Roman"/>
          <w:b w:val="false"/>
          <w:i w:val="false"/>
          <w:color w:val="000000"/>
          <w:sz w:val="22"/>
        </w:rPr>
        <w:t>Upon approval by HUD, the authority will allocate CDBG funds among programs or activities described in the state’s most recent annual action plan, which may include but not be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Housing assistance.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Water and sewer improvements.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Community facilities improvements.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Opportunities and threats fund.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Neighborhood revitalization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9996C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261—23.5</w:t>
      </w:r>
      <w:r>
        <w:rPr>
          <w:rFonts w:ascii="Times New Roman" w:hAnsi="Times New Roman"/>
          <w:b/>
          <w:i w:val="false"/>
          <w:color w:val="000000"/>
          <w:sz w:val="22"/>
        </w:rPr>
        <w:t xml:space="preserve">(15) </w:t>
      </w:r>
      <w:r>
        <w:rPr>
          <w:rFonts w:ascii="Times New Roman" w:hAnsi="Times New Roman"/>
          <w:b/>
          <w:i w:val="false"/>
          <w:color w:val="000000"/>
          <w:sz w:val="22"/>
        </w:rPr>
        <w:t xml:space="preserve">Requirements for funding. </w:t>
      </w:r>
      <w:r>
        <w:rPr>
          <w:rFonts w:ascii="Times New Roman" w:hAnsi="Times New Roman"/>
          <w:b w:val="false"/>
          <w:i w:val="false"/>
          <w:color w:val="000000"/>
          <w:sz w:val="22"/>
        </w:rPr>
        <w:t xml:space="preserve">Applications for funds under any of the program-allocated funds pursuant to rule </w:t>
      </w:r>
      <w:hyperlink r:id="rId7">
        <w:r>
          <w:rPr>
            <w:rStyle w:val="Hyperlink"/>
            <w:rFonts w:ascii="Times New Roman" w:hAnsi="Times New Roman"/>
            <w:b w:val="false"/>
            <w:i w:val="false"/>
            <w:color w:val="000000"/>
            <w:sz w:val="22"/>
          </w:rPr>
          <w:t>261—23.4</w:t>
        </w:r>
      </w:hyperlink>
      <w:r>
        <w:rPr>
          <w:rFonts w:ascii="Times New Roman" w:hAnsi="Times New Roman"/>
          <w:b w:val="false"/>
          <w:i w:val="false"/>
          <w:color w:val="000000"/>
          <w:sz w:val="22"/>
        </w:rPr>
        <w:t xml:space="preserve">(15) shall meet the minimum criteria described in subrules </w:t>
      </w:r>
      <w:hyperlink r:id="rId8">
        <w:r>
          <w:rPr>
            <w:rStyle w:val="Hyperlink"/>
            <w:rFonts w:ascii="Times New Roman" w:hAnsi="Times New Roman"/>
            <w:b w:val="false"/>
            <w:i w:val="false"/>
            <w:color w:val="000000"/>
            <w:sz w:val="22"/>
          </w:rPr>
          <w:t>23.5(1) through 23.5(3)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val="false"/>
          <w:color w:val="000000"/>
          <w:sz w:val="22"/>
        </w:rPr>
        <w:t xml:space="preserve">Proposed activities shall be eligible, as authorized by Title I, Section 105, of the Housing and Community Development Act of 1974 as amended and as further defined in </w:t>
      </w:r>
      <w:r>
        <w:rPr>
          <w:rFonts w:ascii="Times New Roman" w:hAnsi="Times New Roman"/>
          <w:b w:val="false"/>
          <w:i w:val="false"/>
          <w:color w:val="000000"/>
          <w:sz w:val="22"/>
        </w:rPr>
        <w:t>24 CFR Part 570</w:t>
      </w:r>
      <w:r>
        <w:rPr>
          <w:rFonts w:ascii="Times New Roman" w:hAnsi="Times New Roman"/>
          <w:b w:val="false"/>
          <w:i w:val="false"/>
          <w:color w:val="000000"/>
          <w:sz w:val="22"/>
        </w:rPr>
        <w:t>. References in this subrule are to the laws as in effect February 25,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val="false"/>
          <w:color w:val="000000"/>
          <w:sz w:val="22"/>
        </w:rPr>
        <w:t>Proposed activities shall address at least one of the following three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Primarily benefit low- and moderate-income persons. To address this objective, 51 percent or more persons benefiting from a proposed activity must have incomes at or below 80 percent of the area median income as defined by HUD.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Aid in the prevention or elimination of slums and blight. To address this objective, the application must document the extent or seriousness of deterioration in the area to be assisted, showing a clear adverse effect on the well-being of the area or community and illustrating that the proposed activity will alleviate or eliminate the conditions causing the deterioration.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Meet an urgent community development need. To address this objective, the applicant must certify that the proposed activity is designed to alleviate existing conditions that pose a serious and immediate threat to the health or welfare of the community and that are recent in origin or that recently became urgent, that the applicant is unable to finance the activity without CDBG assistance and that other sources of funding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val="false"/>
          <w:color w:val="000000"/>
          <w:sz w:val="22"/>
        </w:rPr>
        <w:t>Applicants shall certify their compliance with federal requirements applicable to the CDBG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9996C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261—23.6</w:t>
      </w:r>
      <w:r>
        <w:rPr>
          <w:rFonts w:ascii="Times New Roman" w:hAnsi="Times New Roman"/>
          <w:b/>
          <w:i w:val="false"/>
          <w:color w:val="000000"/>
          <w:sz w:val="22"/>
        </w:rPr>
        <w:t xml:space="preserve">(15) </w:t>
      </w:r>
      <w:r>
        <w:rPr>
          <w:rFonts w:ascii="Times New Roman" w:hAnsi="Times New Roman"/>
          <w:b/>
          <w:i w:val="false"/>
          <w:color w:val="000000"/>
          <w:sz w:val="22"/>
        </w:rPr>
        <w:t xml:space="preserve">Award and administration. </w:t>
      </w:r>
      <w:r>
        <w:rPr>
          <w:rFonts w:ascii="Times New Roman" w:hAnsi="Times New Roman"/>
          <w:b w:val="false"/>
          <w:i w:val="false"/>
          <w:color w:val="000000"/>
          <w:sz w:val="22"/>
        </w:rPr>
        <w:t>The authority may negotiate award amounts, terms and conditions prior to making any award under the program. A management guide detailing the instructions for administration of awards will be updated periodically by the authority and will be available on the authority’s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9996C</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15.108(1)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val="false"/>
          <w:color w:val="000000"/>
          <w:sz w:val="22"/>
        </w:rPr>
        <w:t>24 CFR Part 570</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4/2/82 after Notice 2/17/82—published 4/28/82, effective 4/2/82]</w:t>
      </w:r>
    </w:p>
    <w:p>
      <w:pPr>
        <w:spacing w:before="0" w:after="0"/>
        <w:ind w:left="120"/>
        <w:jc w:val="center"/>
      </w:pPr>
      <w:r>
        <w:rPr>
          <w:rFonts w:ascii="Times New Roman" w:hAnsi="Times New Roman"/>
          <w:b w:val="false"/>
          <w:i w:val="false"/>
          <w:color w:val="000000"/>
          <w:sz w:val="21"/>
        </w:rPr>
        <w:t>[Filed 12/7/82, Notice 9/1/82—published 12/22/82, effective 1/26/83]</w:t>
      </w:r>
    </w:p>
    <w:p>
      <w:pPr>
        <w:spacing w:before="0" w:after="0"/>
        <w:ind w:left="120"/>
        <w:jc w:val="center"/>
      </w:pPr>
      <w:r>
        <w:rPr>
          <w:rFonts w:ascii="Times New Roman" w:hAnsi="Times New Roman"/>
          <w:b w:val="false"/>
          <w:i w:val="false"/>
          <w:color w:val="000000"/>
          <w:sz w:val="21"/>
        </w:rPr>
        <w:t>[Filed emergency 6/3/83—published 6/22/83, effective 6/3/83]</w:t>
      </w:r>
    </w:p>
    <w:p>
      <w:pPr>
        <w:spacing w:before="0" w:after="0"/>
        <w:ind w:left="120"/>
        <w:jc w:val="center"/>
      </w:pPr>
      <w:r>
        <w:rPr>
          <w:rFonts w:ascii="Times New Roman" w:hAnsi="Times New Roman"/>
          <w:b w:val="false"/>
          <w:i w:val="false"/>
          <w:color w:val="000000"/>
          <w:sz w:val="21"/>
        </w:rPr>
        <w:t>[Filed 9/23/83, Notice 8/17/83—published 10/12/83, effective 11/16/83]</w:t>
      </w:r>
    </w:p>
    <w:p>
      <w:pPr>
        <w:spacing w:before="0" w:after="0"/>
        <w:ind w:left="120"/>
        <w:jc w:val="center"/>
      </w:pPr>
      <w:r>
        <w:rPr>
          <w:rFonts w:ascii="Times New Roman" w:hAnsi="Times New Roman"/>
          <w:b w:val="false"/>
          <w:i w:val="false"/>
          <w:color w:val="000000"/>
          <w:sz w:val="21"/>
        </w:rPr>
        <w:t>[Filed emergency 1/27/84—published 2/15/84, effective 1/27/84]</w:t>
      </w:r>
    </w:p>
    <w:p>
      <w:pPr>
        <w:spacing w:before="0" w:after="0"/>
        <w:ind w:left="120"/>
        <w:jc w:val="center"/>
      </w:pPr>
      <w:r>
        <w:rPr>
          <w:rFonts w:ascii="Times New Roman" w:hAnsi="Times New Roman"/>
          <w:b w:val="false"/>
          <w:i w:val="false"/>
          <w:color w:val="000000"/>
          <w:sz w:val="21"/>
        </w:rPr>
        <w:t>[Filed 9/21/84, Notice 8/15/84—published 10/10/84, effective 11/14/84]</w:t>
      </w:r>
    </w:p>
    <w:p>
      <w:pPr>
        <w:spacing w:before="0" w:after="0"/>
        <w:ind w:left="120"/>
        <w:jc w:val="center"/>
      </w:pPr>
      <w:r>
        <w:rPr>
          <w:rFonts w:ascii="Times New Roman" w:hAnsi="Times New Roman"/>
          <w:b w:val="false"/>
          <w:i w:val="false"/>
          <w:color w:val="000000"/>
          <w:sz w:val="21"/>
        </w:rPr>
        <w:t>[Filed emergency 11/30/84—published 12/19/84, effective 11/30/84]</w:t>
      </w:r>
    </w:p>
    <w:p>
      <w:pPr>
        <w:spacing w:before="0" w:after="0"/>
        <w:ind w:left="120"/>
        <w:jc w:val="center"/>
      </w:pPr>
      <w:r>
        <w:rPr>
          <w:rFonts w:ascii="Times New Roman" w:hAnsi="Times New Roman"/>
          <w:b w:val="false"/>
          <w:i w:val="false"/>
          <w:color w:val="000000"/>
          <w:sz w:val="21"/>
        </w:rPr>
        <w:t>[Filed emergency 1/29/85—published 2/27/85, effective 1/29/85]</w:t>
      </w:r>
    </w:p>
    <w:p>
      <w:pPr>
        <w:spacing w:before="0" w:after="0"/>
        <w:ind w:left="120"/>
        <w:jc w:val="center"/>
      </w:pPr>
      <w:r>
        <w:rPr>
          <w:rFonts w:ascii="Times New Roman" w:hAnsi="Times New Roman"/>
          <w:b w:val="false"/>
          <w:i w:val="false"/>
          <w:color w:val="000000"/>
          <w:sz w:val="21"/>
        </w:rPr>
        <w:t>[Filed 9/20/85, Notice 8/14/85—published 10/9/85, effective 11/13/85]</w:t>
      </w:r>
    </w:p>
    <w:p>
      <w:pPr>
        <w:spacing w:before="0" w:after="0"/>
        <w:ind w:left="120"/>
        <w:jc w:val="center"/>
      </w:pPr>
      <w:r>
        <w:rPr>
          <w:rFonts w:ascii="Times New Roman" w:hAnsi="Times New Roman"/>
          <w:b w:val="false"/>
          <w:i w:val="false"/>
          <w:color w:val="000000"/>
          <w:sz w:val="21"/>
        </w:rPr>
        <w:t>[Filed emergency 10/10/85—published 11/6/85, effective 10/10/85]</w:t>
      </w:r>
    </w:p>
    <w:p>
      <w:pPr>
        <w:spacing w:before="0" w:after="0"/>
        <w:ind w:left="120"/>
        <w:jc w:val="center"/>
      </w:pPr>
      <w:r>
        <w:rPr>
          <w:rFonts w:ascii="Times New Roman" w:hAnsi="Times New Roman"/>
          <w:b w:val="false"/>
          <w:i w:val="false"/>
          <w:color w:val="000000"/>
          <w:sz w:val="21"/>
        </w:rPr>
        <w:t>[Filed emergency 3/21/86—published 4/9/86, effective 3/21/86]</w:t>
      </w:r>
    </w:p>
    <w:p>
      <w:pPr>
        <w:spacing w:before="0" w:after="0"/>
        <w:ind w:left="120"/>
        <w:jc w:val="center"/>
      </w:pPr>
      <w:r>
        <w:rPr>
          <w:rFonts w:ascii="Times New Roman" w:hAnsi="Times New Roman"/>
          <w:b w:val="false"/>
          <w:i w:val="false"/>
          <w:color w:val="000000"/>
          <w:sz w:val="21"/>
        </w:rPr>
        <w:t>[Filed emergency 8/8/86—published 8/27/86, effective 8/8/86]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11/14/86 after Notice 10/8/86—published 12/3/86, effective 11/14/86]</w:t>
      </w:r>
    </w:p>
    <w:p>
      <w:pPr>
        <w:spacing w:before="0" w:after="0"/>
        <w:ind w:left="120"/>
        <w:jc w:val="center"/>
      </w:pPr>
      <w:r>
        <w:rPr>
          <w:rFonts w:ascii="Times New Roman" w:hAnsi="Times New Roman"/>
          <w:b w:val="false"/>
          <w:i w:val="false"/>
          <w:color w:val="000000"/>
          <w:sz w:val="21"/>
        </w:rPr>
        <w:t>[Filed emergency 9/11/87 after Notice 7/29/87—published 10/7/87, effective 9/11/87]</w:t>
      </w:r>
    </w:p>
    <w:p>
      <w:pPr>
        <w:spacing w:before="0" w:after="0"/>
        <w:ind w:left="120"/>
        <w:jc w:val="center"/>
      </w:pPr>
      <w:r>
        <w:rPr>
          <w:rFonts w:ascii="Times New Roman" w:hAnsi="Times New Roman"/>
          <w:b w:val="false"/>
          <w:i w:val="false"/>
          <w:color w:val="000000"/>
          <w:sz w:val="21"/>
        </w:rPr>
        <w:t>[Filed 8/19/88, Notice 6/15/88—published 9/7/88, effective 10/12/88]</w:t>
      </w:r>
    </w:p>
    <w:p>
      <w:pPr>
        <w:spacing w:before="0" w:after="0"/>
        <w:ind w:left="120"/>
        <w:jc w:val="center"/>
      </w:pPr>
      <w:r>
        <w:rPr>
          <w:rFonts w:ascii="Times New Roman" w:hAnsi="Times New Roman"/>
          <w:b w:val="false"/>
          <w:i w:val="false"/>
          <w:color w:val="000000"/>
          <w:sz w:val="21"/>
        </w:rPr>
        <w:t>[Filed emergency 11/23/88—published 12/14/88, effective 11/23/88]</w:t>
      </w:r>
    </w:p>
    <w:p>
      <w:pPr>
        <w:spacing w:before="0" w:after="0"/>
        <w:ind w:left="120"/>
        <w:jc w:val="center"/>
      </w:pPr>
      <w:r>
        <w:rPr>
          <w:rFonts w:ascii="Times New Roman" w:hAnsi="Times New Roman"/>
          <w:b w:val="false"/>
          <w:i w:val="false"/>
          <w:color w:val="000000"/>
          <w:sz w:val="21"/>
        </w:rPr>
        <w:t>[Filed emergency 2/17/89—published 3/8/89, effective 2/17/89]</w:t>
      </w:r>
    </w:p>
    <w:p>
      <w:pPr>
        <w:spacing w:before="0" w:after="0"/>
        <w:ind w:left="120"/>
        <w:jc w:val="center"/>
      </w:pPr>
      <w:r>
        <w:rPr>
          <w:rFonts w:ascii="Times New Roman" w:hAnsi="Times New Roman"/>
          <w:b w:val="false"/>
          <w:i w:val="false"/>
          <w:color w:val="000000"/>
          <w:sz w:val="21"/>
        </w:rPr>
        <w:t>[Filed emergency 5/19/89—published 6/14/89, effective 5/19/89]</w:t>
      </w:r>
    </w:p>
    <w:p>
      <w:pPr>
        <w:spacing w:before="0" w:after="0"/>
        <w:ind w:left="120"/>
        <w:jc w:val="center"/>
      </w:pPr>
      <w:r>
        <w:rPr>
          <w:rFonts w:ascii="Times New Roman" w:hAnsi="Times New Roman"/>
          <w:b w:val="false"/>
          <w:i w:val="false"/>
          <w:color w:val="000000"/>
          <w:sz w:val="21"/>
        </w:rPr>
        <w:t>[Filed 8/18/89, Notice 7/12/89—published 9/6/89, effective 10/11/89]</w:t>
      </w:r>
    </w:p>
    <w:p>
      <w:pPr>
        <w:spacing w:before="0" w:after="0"/>
        <w:ind w:left="120"/>
        <w:jc w:val="center"/>
      </w:pPr>
      <w:r>
        <w:rPr>
          <w:rFonts w:ascii="Times New Roman" w:hAnsi="Times New Roman"/>
          <w:b w:val="false"/>
          <w:i w:val="false"/>
          <w:color w:val="000000"/>
          <w:sz w:val="21"/>
        </w:rPr>
        <w:t>[Filed emergency 10/20/89—published 11/15/89, effective 10/20/89]</w:t>
      </w:r>
    </w:p>
    <w:p>
      <w:pPr>
        <w:spacing w:before="0" w:after="0"/>
        <w:ind w:left="120"/>
        <w:jc w:val="center"/>
      </w:pPr>
      <w:r>
        <w:rPr>
          <w:rFonts w:ascii="Times New Roman" w:hAnsi="Times New Roman"/>
          <w:b w:val="false"/>
          <w:i w:val="false"/>
          <w:color w:val="000000"/>
          <w:sz w:val="21"/>
        </w:rPr>
        <w:t>[Filed 8/17/90, Notice 7/11/90—published 9/5/90, effective 10/10/90]</w:t>
      </w:r>
    </w:p>
    <w:p>
      <w:pPr>
        <w:spacing w:before="0" w:after="0"/>
        <w:ind w:left="120"/>
        <w:jc w:val="center"/>
      </w:pPr>
      <w:r>
        <w:rPr>
          <w:rFonts w:ascii="Times New Roman" w:hAnsi="Times New Roman"/>
          <w:b w:val="false"/>
          <w:i w:val="false"/>
          <w:color w:val="000000"/>
          <w:sz w:val="21"/>
        </w:rPr>
        <w:t>[Filed emergency 4/19/91—published 5/15/91, effective 4/19/91]</w:t>
      </w:r>
    </w:p>
    <w:p>
      <w:pPr>
        <w:spacing w:before="0" w:after="0"/>
        <w:ind w:left="120"/>
        <w:jc w:val="center"/>
      </w:pPr>
      <w:r>
        <w:rPr>
          <w:rFonts w:ascii="Times New Roman" w:hAnsi="Times New Roman"/>
          <w:b w:val="false"/>
          <w:i w:val="false"/>
          <w:color w:val="000000"/>
          <w:sz w:val="21"/>
        </w:rPr>
        <w:t>[Filed emergency 6/21/91 after Notice 4/17/91—published 7/10/91, effective 6/21/91]</w:t>
      </w:r>
    </w:p>
    <w:p>
      <w:pPr>
        <w:spacing w:before="0" w:after="0"/>
        <w:ind w:left="120"/>
        <w:jc w:val="center"/>
      </w:pPr>
      <w:r>
        <w:rPr>
          <w:rFonts w:ascii="Times New Roman" w:hAnsi="Times New Roman"/>
          <w:b w:val="false"/>
          <w:i w:val="false"/>
          <w:color w:val="000000"/>
          <w:sz w:val="21"/>
        </w:rPr>
        <w:t>[Filed 9/25/91, Notice 7/10/91—published 10/16/91, effective 11/20/91]</w:t>
      </w:r>
    </w:p>
    <w:p>
      <w:pPr>
        <w:spacing w:before="0" w:after="0"/>
        <w:ind w:left="120"/>
        <w:jc w:val="center"/>
      </w:pPr>
      <w:r>
        <w:rPr>
          <w:rFonts w:ascii="Times New Roman" w:hAnsi="Times New Roman"/>
          <w:b w:val="false"/>
          <w:i w:val="false"/>
          <w:color w:val="000000"/>
          <w:sz w:val="21"/>
        </w:rPr>
        <w:t>[Filed 5/22/92, Notice 3/18/92—published 6/10/92, effective 7/15/92]</w:t>
      </w:r>
    </w:p>
    <w:p>
      <w:pPr>
        <w:spacing w:before="0" w:after="0"/>
        <w:ind w:left="120"/>
        <w:jc w:val="center"/>
      </w:pPr>
      <w:r>
        <w:rPr>
          <w:rFonts w:ascii="Times New Roman" w:hAnsi="Times New Roman"/>
          <w:b w:val="false"/>
          <w:i w:val="false"/>
          <w:color w:val="000000"/>
          <w:sz w:val="21"/>
        </w:rPr>
        <w:t>[Filed 9/23/92, Notice 7/8/92—published 10/14/92, effective 11/18/92]</w:t>
      </w:r>
    </w:p>
    <w:p>
      <w:pPr>
        <w:spacing w:before="0" w:after="0"/>
        <w:ind w:left="120"/>
        <w:jc w:val="center"/>
      </w:pPr>
      <w:r>
        <w:rPr>
          <w:rFonts w:ascii="Times New Roman" w:hAnsi="Times New Roman"/>
          <w:b w:val="false"/>
          <w:i w:val="false"/>
          <w:color w:val="000000"/>
          <w:sz w:val="21"/>
        </w:rPr>
        <w:t>[Filed emergency 8/20/93—published 9/15/93, effective 8/20/93]</w:t>
      </w:r>
    </w:p>
    <w:p>
      <w:pPr>
        <w:spacing w:before="0" w:after="0"/>
        <w:ind w:left="120"/>
        <w:jc w:val="center"/>
      </w:pPr>
      <w:r>
        <w:rPr>
          <w:rFonts w:ascii="Times New Roman" w:hAnsi="Times New Roman"/>
          <w:b w:val="false"/>
          <w:i w:val="false"/>
          <w:color w:val="000000"/>
          <w:sz w:val="21"/>
        </w:rPr>
        <w:t>[Filed emergency 10/22/93 after Notice 8/18/93—published 11/10/93, effective 10/22/93]</w:t>
      </w:r>
    </w:p>
    <w:p>
      <w:pPr>
        <w:spacing w:before="0" w:after="0"/>
        <w:ind w:left="120"/>
        <w:jc w:val="center"/>
      </w:pPr>
      <w:r>
        <w:rPr>
          <w:rFonts w:ascii="Times New Roman" w:hAnsi="Times New Roman"/>
          <w:b w:val="false"/>
          <w:i w:val="false"/>
          <w:color w:val="000000"/>
          <w:sz w:val="21"/>
        </w:rPr>
        <w:t>[Filed emergency 10/22/93—published 11/10/93, effective 10/22/93]</w:t>
      </w:r>
    </w:p>
    <w:p>
      <w:pPr>
        <w:spacing w:before="0" w:after="0"/>
        <w:ind w:left="120"/>
        <w:jc w:val="center"/>
      </w:pPr>
      <w:r>
        <w:rPr>
          <w:rFonts w:ascii="Times New Roman" w:hAnsi="Times New Roman"/>
          <w:b w:val="false"/>
          <w:i w:val="false"/>
          <w:color w:val="000000"/>
          <w:sz w:val="21"/>
        </w:rPr>
        <w:t>[Filed emergency 3/17/94—published 4/13/94, effective 3/18/94]</w:t>
      </w:r>
    </w:p>
    <w:p>
      <w:pPr>
        <w:spacing w:before="0" w:after="0"/>
        <w:ind w:left="120"/>
        <w:jc w:val="center"/>
      </w:pPr>
      <w:r>
        <w:rPr>
          <w:rFonts w:ascii="Times New Roman" w:hAnsi="Times New Roman"/>
          <w:b w:val="false"/>
          <w:i w:val="false"/>
          <w:color w:val="000000"/>
          <w:sz w:val="21"/>
        </w:rPr>
        <w:t>[Filed 8/19/94, Notice 7/6/94—published 9/14/94, effective 10/19/94]</w:t>
      </w:r>
    </w:p>
    <w:p>
      <w:pPr>
        <w:spacing w:before="0" w:after="0"/>
        <w:ind w:left="120"/>
        <w:jc w:val="center"/>
      </w:pPr>
      <w:r>
        <w:rPr>
          <w:rFonts w:ascii="Times New Roman" w:hAnsi="Times New Roman"/>
          <w:b w:val="false"/>
          <w:i w:val="false"/>
          <w:color w:val="000000"/>
          <w:sz w:val="21"/>
        </w:rPr>
        <w:t>[Filed emergency 12/8/94—published 1/4/95, effective 12/8/94]</w:t>
      </w:r>
    </w:p>
    <w:p>
      <w:pPr>
        <w:spacing w:before="0" w:after="0"/>
        <w:ind w:left="120"/>
        <w:jc w:val="center"/>
      </w:pPr>
      <w:r>
        <w:rPr>
          <w:rFonts w:ascii="Times New Roman" w:hAnsi="Times New Roman"/>
          <w:b w:val="false"/>
          <w:i w:val="false"/>
          <w:color w:val="000000"/>
          <w:sz w:val="21"/>
        </w:rPr>
        <w:t>[Filed emergency 1/20/95—published 2/15/95, effective 1/20/95]</w:t>
      </w:r>
    </w:p>
    <w:p>
      <w:pPr>
        <w:spacing w:before="0" w:after="0"/>
        <w:ind w:left="120"/>
        <w:jc w:val="center"/>
      </w:pPr>
      <w:r>
        <w:rPr>
          <w:rFonts w:ascii="Times New Roman" w:hAnsi="Times New Roman"/>
          <w:b w:val="false"/>
          <w:i w:val="false"/>
          <w:color w:val="000000"/>
          <w:sz w:val="21"/>
        </w:rPr>
        <w:t>[Filed emergency 10/24/95 after Notice 8/16/95—published 11/8/95, effective 10/24/95]</w:t>
      </w:r>
    </w:p>
    <w:p>
      <w:pPr>
        <w:spacing w:before="0" w:after="0"/>
        <w:ind w:left="120"/>
        <w:jc w:val="center"/>
      </w:pPr>
      <w:r>
        <w:rPr>
          <w:rFonts w:ascii="Times New Roman" w:hAnsi="Times New Roman"/>
          <w:b w:val="false"/>
          <w:i w:val="false"/>
          <w:color w:val="000000"/>
          <w:sz w:val="21"/>
        </w:rPr>
        <w:t>[Filed emergency 10/18/96 after Notice 9/11/96—published 11/6/96, effective 10/18/96]</w:t>
      </w:r>
    </w:p>
    <w:p>
      <w:pPr>
        <w:spacing w:before="0" w:after="0"/>
        <w:ind w:left="120"/>
        <w:jc w:val="center"/>
      </w:pPr>
      <w:r>
        <w:rPr>
          <w:rFonts w:ascii="Times New Roman" w:hAnsi="Times New Roman"/>
          <w:b w:val="false"/>
          <w:i w:val="false"/>
          <w:color w:val="000000"/>
          <w:sz w:val="21"/>
        </w:rPr>
        <w:t>[Filed 10/23/97, Notice 9/10/97—published 11/19/97, effective 12/24/97]</w:t>
      </w:r>
    </w:p>
    <w:p>
      <w:pPr>
        <w:spacing w:before="0" w:after="0"/>
        <w:ind w:left="120"/>
        <w:jc w:val="center"/>
      </w:pPr>
      <w:r>
        <w:rPr>
          <w:rFonts w:ascii="Times New Roman" w:hAnsi="Times New Roman"/>
          <w:b w:val="false"/>
          <w:i w:val="false"/>
          <w:color w:val="000000"/>
          <w:sz w:val="21"/>
        </w:rPr>
        <w:t>[Filed 1/23/98, Notice 12/17/97—published 2/11/98, effective 3/18/98]</w:t>
      </w:r>
    </w:p>
    <w:p>
      <w:pPr>
        <w:spacing w:before="0" w:after="0"/>
        <w:ind w:left="120"/>
        <w:jc w:val="center"/>
      </w:pPr>
      <w:r>
        <w:rPr>
          <w:rFonts w:ascii="Times New Roman" w:hAnsi="Times New Roman"/>
          <w:b w:val="false"/>
          <w:i w:val="false"/>
          <w:color w:val="000000"/>
          <w:sz w:val="21"/>
        </w:rPr>
        <w:t>[Filed 8/20/98, Notice 7/15/98—published 9/9/98, effective 10/14/98]</w:t>
      </w:r>
    </w:p>
    <w:p>
      <w:pPr>
        <w:spacing w:before="0" w:after="0"/>
        <w:ind w:left="120"/>
        <w:jc w:val="center"/>
      </w:pPr>
      <w:r>
        <w:rPr>
          <w:rFonts w:ascii="Times New Roman" w:hAnsi="Times New Roman"/>
          <w:b w:val="false"/>
          <w:i w:val="false"/>
          <w:color w:val="000000"/>
          <w:sz w:val="21"/>
        </w:rPr>
        <w:t>[Filed 1/22/99, Notice 12/16/98—published 2/10/99, effective 3/17/99]</w:t>
      </w:r>
    </w:p>
    <w:p>
      <w:pPr>
        <w:spacing w:before="0" w:after="0"/>
        <w:ind w:left="120"/>
        <w:jc w:val="center"/>
      </w:pPr>
      <w:r>
        <w:rPr>
          <w:rFonts w:ascii="Times New Roman" w:hAnsi="Times New Roman"/>
          <w:b w:val="false"/>
          <w:i w:val="false"/>
          <w:color w:val="000000"/>
          <w:sz w:val="21"/>
        </w:rPr>
        <w:t>[Filed 4/28/99, Notice 3/10/99—published 5/19/99, effective 6/23/99]</w:t>
      </w:r>
    </w:p>
    <w:p>
      <w:pPr>
        <w:spacing w:before="0" w:after="0"/>
        <w:ind w:left="120"/>
        <w:jc w:val="center"/>
      </w:pPr>
      <w:r>
        <w:rPr>
          <w:rFonts w:ascii="Times New Roman" w:hAnsi="Times New Roman"/>
          <w:b w:val="false"/>
          <w:i w:val="false"/>
          <w:color w:val="000000"/>
          <w:sz w:val="21"/>
        </w:rPr>
        <w:t>[Filed emergency 7/22/99—published 8/11/99, effective 7/23/99]</w:t>
      </w:r>
    </w:p>
    <w:p>
      <w:pPr>
        <w:spacing w:before="0" w:after="0"/>
        <w:ind w:left="120"/>
        <w:jc w:val="center"/>
      </w:pPr>
      <w:r>
        <w:rPr>
          <w:rFonts w:ascii="Times New Roman" w:hAnsi="Times New Roman"/>
          <w:b w:val="false"/>
          <w:i w:val="false"/>
          <w:color w:val="000000"/>
          <w:sz w:val="21"/>
        </w:rPr>
        <w:t>[Filed 8/20/99, Notice 6/16/99—published 9/8/99, effective 10/13/99]</w:t>
      </w:r>
    </w:p>
    <w:p>
      <w:pPr>
        <w:spacing w:before="0" w:after="0"/>
        <w:ind w:left="120"/>
        <w:jc w:val="center"/>
      </w:pPr>
      <w:r>
        <w:rPr>
          <w:rFonts w:ascii="Times New Roman" w:hAnsi="Times New Roman"/>
          <w:b w:val="false"/>
          <w:i w:val="false"/>
          <w:color w:val="000000"/>
          <w:sz w:val="21"/>
        </w:rPr>
        <w:t>[Filed 9/16/99, Notice 8/11/99—published 10/6/99, effective 11/10/99]</w:t>
      </w:r>
    </w:p>
    <w:p>
      <w:pPr>
        <w:spacing w:before="0" w:after="0"/>
        <w:ind w:left="120"/>
        <w:jc w:val="center"/>
      </w:pPr>
      <w:r>
        <w:rPr>
          <w:rFonts w:ascii="Times New Roman" w:hAnsi="Times New Roman"/>
          <w:b w:val="false"/>
          <w:i w:val="false"/>
          <w:color w:val="000000"/>
          <w:sz w:val="21"/>
        </w:rPr>
        <w:t>[Filed 8/30/02, Notice 7/10/02—published 9/18/02, effective 10/23/02]</w:t>
      </w:r>
    </w:p>
    <w:p>
      <w:pPr>
        <w:spacing w:before="0" w:after="0"/>
        <w:ind w:left="120"/>
        <w:jc w:val="center"/>
      </w:pPr>
      <w:r>
        <w:rPr>
          <w:rFonts w:ascii="Times New Roman" w:hAnsi="Times New Roman"/>
          <w:b w:val="false"/>
          <w:i w:val="false"/>
          <w:color w:val="000000"/>
          <w:sz w:val="21"/>
        </w:rPr>
        <w:t>[Filed emergency 11/20/03—published 12/24/03, effective 1/1/04]</w:t>
      </w:r>
    </w:p>
    <w:p>
      <w:pPr>
        <w:spacing w:before="0" w:after="0"/>
        <w:ind w:left="120"/>
        <w:jc w:val="center"/>
      </w:pPr>
      <w:r>
        <w:rPr>
          <w:rFonts w:ascii="Times New Roman" w:hAnsi="Times New Roman"/>
          <w:b w:val="false"/>
          <w:i w:val="false"/>
          <w:color w:val="000000"/>
          <w:sz w:val="21"/>
        </w:rPr>
        <w:t>[Filed 2/23/04, Notice 12/24/03—published 3/17/04, effective 4/21/04]</w:t>
      </w:r>
    </w:p>
    <w:p>
      <w:pPr>
        <w:spacing w:before="0" w:after="0"/>
        <w:ind w:left="120"/>
        <w:jc w:val="center"/>
      </w:pPr>
      <w:r>
        <w:rPr>
          <w:rFonts w:ascii="Times New Roman" w:hAnsi="Times New Roman"/>
          <w:b w:val="false"/>
          <w:i w:val="false"/>
          <w:color w:val="000000"/>
          <w:sz w:val="21"/>
        </w:rPr>
        <w:t>[Filed 3/19/04, Notice 2/4/04—published 4/14/04, effective 5/19/04]</w:t>
      </w:r>
    </w:p>
    <w:p>
      <w:pPr>
        <w:spacing w:before="0" w:after="0"/>
        <w:ind w:left="120"/>
        <w:jc w:val="center"/>
      </w:pPr>
      <w:r>
        <w:rPr>
          <w:rFonts w:ascii="Times New Roman" w:hAnsi="Times New Roman"/>
          <w:b w:val="false"/>
          <w:i w:val="false"/>
          <w:color w:val="000000"/>
          <w:sz w:val="21"/>
        </w:rPr>
        <w:t>[Filed 12/16/04, Notice 8/4/04—published 1/19/05, effective 2/23/05]</w:t>
      </w:r>
    </w:p>
    <w:p>
      <w:pPr>
        <w:spacing w:before="0" w:after="0"/>
        <w:ind w:left="120"/>
        <w:jc w:val="center"/>
      </w:pPr>
      <w:r>
        <w:rPr>
          <w:rFonts w:ascii="Times New Roman" w:hAnsi="Times New Roman"/>
          <w:b w:val="false"/>
          <w:i w:val="false"/>
          <w:color w:val="000000"/>
          <w:sz w:val="21"/>
        </w:rPr>
        <w:t>[Filed 4/21/06, Notice 2/15/06—published 5/10/06, effective 6/14/06]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8/13/08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11/26/08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10/16/08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7970B, IAB 7/15/09, effective 7/1/09]</w:t>
      </w:r>
    </w:p>
    <w:p>
      <w:pPr>
        <w:spacing w:before="0" w:after="0"/>
        <w:ind w:left="120"/>
        <w:jc w:val="center"/>
      </w:pPr>
      <w:r>
        <w:rPr>
          <w:rFonts w:ascii="Times New Roman" w:hAnsi="Times New Roman"/>
          <w:b w:val="false"/>
          <w:i w:val="false"/>
          <w:color w:val="000000"/>
          <w:sz w:val="21"/>
        </w:rPr>
        <w:t>[Filed ARC 8145B</w:t>
      </w:r>
      <w:r>
        <w:rPr>
          <w:rFonts w:ascii="Times New Roman" w:hAnsi="Times New Roman"/>
          <w:b w:val="false"/>
          <w:i w:val="false"/>
          <w:color w:val="000000"/>
          <w:sz w:val="21"/>
        </w:rPr>
        <w:t xml:space="preserve"> (Notice ARC 7971B, IAB 7/15/09)</w:t>
      </w:r>
      <w:r>
        <w:rPr>
          <w:rFonts w:ascii="Times New Roman" w:hAnsi="Times New Roman"/>
          <w:b w:val="false"/>
          <w:i w:val="false"/>
          <w:color w:val="000000"/>
          <w:sz w:val="21"/>
        </w:rPr>
        <w:t>, IAB 9/23/09, effective 10/28/09]</w:t>
      </w:r>
    </w:p>
    <w:p>
      <w:pPr>
        <w:spacing w:before="0" w:after="0"/>
        <w:ind w:left="120"/>
        <w:jc w:val="center"/>
      </w:pPr>
      <w:r>
        <w:rPr>
          <w:rFonts w:ascii="Times New Roman" w:hAnsi="Times New Roman"/>
          <w:b w:val="false"/>
          <w:i w:val="false"/>
          <w:color w:val="000000"/>
          <w:sz w:val="21"/>
        </w:rPr>
        <w:t>[Filed ARC 2038C</w:t>
      </w:r>
      <w:r>
        <w:rPr>
          <w:rFonts w:ascii="Times New Roman" w:hAnsi="Times New Roman"/>
          <w:b w:val="false"/>
          <w:i w:val="false"/>
          <w:color w:val="000000"/>
          <w:sz w:val="21"/>
        </w:rPr>
        <w:t xml:space="preserve"> (Notice ARC 1890C, IAB 3/4/15)</w:t>
      </w:r>
      <w:r>
        <w:rPr>
          <w:rFonts w:ascii="Times New Roman" w:hAnsi="Times New Roman"/>
          <w:b w:val="false"/>
          <w:i w:val="false"/>
          <w:color w:val="000000"/>
          <w:sz w:val="21"/>
        </w:rPr>
        <w:t>, IAB 6/24/15, effective 7/29/15]</w:t>
      </w:r>
    </w:p>
    <w:p>
      <w:pPr>
        <w:spacing w:before="0" w:after="0"/>
        <w:ind w:left="120"/>
        <w:jc w:val="center"/>
      </w:pPr>
      <w:r>
        <w:rPr>
          <w:rFonts w:ascii="Times New Roman" w:hAnsi="Times New Roman"/>
          <w:b w:val="false"/>
          <w:i w:val="false"/>
          <w:color w:val="000000"/>
          <w:sz w:val="21"/>
        </w:rPr>
        <w:t>[Filed ARC 6241C</w:t>
      </w:r>
      <w:r>
        <w:rPr>
          <w:rFonts w:ascii="Times New Roman" w:hAnsi="Times New Roman"/>
          <w:b w:val="false"/>
          <w:i w:val="false"/>
          <w:color w:val="000000"/>
          <w:sz w:val="21"/>
        </w:rPr>
        <w:t xml:space="preserve"> (Notice ARC 6139C, IAB 1/12/22)</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[Filed ARC 9996C</w:t>
      </w:r>
      <w:r>
        <w:rPr>
          <w:rFonts w:ascii="Times New Roman" w:hAnsi="Times New Roman"/>
          <w:b w:val="false"/>
          <w:i w:val="false"/>
          <w:color w:val="000000"/>
          <w:sz w:val="21"/>
        </w:rPr>
        <w:t xml:space="preserve"> (Notice ARC 9541C, IAB 9/17/25)</w:t>
      </w:r>
      <w:r>
        <w:rPr>
          <w:rFonts w:ascii="Times New Roman" w:hAnsi="Times New Roman"/>
          <w:b w:val="false"/>
          <w:i w:val="false"/>
          <w:color w:val="000000"/>
          <w:sz w:val="21"/>
        </w:rPr>
        <w:t>, IAB 1/21/26, effective 2/25/26]</w:t>
      </w:r>
    </w:p>
    <w:p>
      <w:pPr>
        <w:pBdr>
          <w:bottom w:space="2"/>
        </w:pBdr>
        <w:spacing w:before="0" w:after="0"/>
        <w:ind w:left="120"/>
        <w:jc w:val="both"/>
      </w:pPr>
      <w:r>
        <w:rPr>
          <w:rFonts w:ascii="Times New Roman" w:hAnsi="Times New Roman"/>
          <w:b w:val="false"/>
          <w:i w:val="false"/>
          <w:color w:val="000000"/>
          <w:sz w:val="22"/>
        </w:rPr>
        <w:t>See IAB Economic Development Department.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opportunityiowa.gov" Type="http://schemas.openxmlformats.org/officeDocument/2006/relationships/hyperlink" Id="rId6"/>
    <Relationship TargetMode="External" Target="https://www.legis.iowa.gov/docs/iac/rule/261.23.4.pdf" Type="http://schemas.openxmlformats.org/officeDocument/2006/relationships/hyperlink" Id="rId7"/>
    <Relationship TargetMode="External" Target="https://www.legis.iowa.gov/docs/iac/rule/261.23.5.pdf" Type="http://schemas.openxmlformats.org/officeDocument/2006/relationships/hyperlink" Id="rId8"/>
    <Relationship TargetMode="External" Target="https://www.legis.iowa.gov/docs/ico/chapter/15.10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