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211</w:t>
      </w:r>
    </w:p>
    <w:p>
      <w:pPr>
        <w:spacing w:before="0" w:after="0"/>
        <w:ind w:left="120"/>
        <w:jc w:val="center"/>
      </w:pPr>
      <w:r>
        <w:rPr>
          <w:rFonts w:ascii="Times New Roman" w:hAnsi="Times New Roman"/>
          <w:b w:val="false"/>
          <w:i w:val="false"/>
          <w:color w:val="000000"/>
          <w:sz w:val="21"/>
        </w:rPr>
        <w:t>COMMUNITY ATTRACTION AND TOURISM (CAT) PROGRAM</w:t>
      </w:r>
    </w:p>
    <w:p>
      <w:pPr>
        <w:spacing w:before="0" w:after="0"/>
        <w:ind w:left="120"/>
        <w:jc w:val="center"/>
      </w:pPr>
      <w:r>
        <w:rPr>
          <w:rFonts w:ascii="Times New Roman" w:hAnsi="Times New Roman"/>
          <w:b w:val="false"/>
          <w:i w:val="false"/>
          <w:color w:val="000000"/>
          <w:sz w:val="14"/>
        </w:rPr>
        <w:t>[Prior to 9/6/00, see 261—Ch 65]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261—211.1</w:t>
      </w:r>
      <w:r>
        <w:rPr>
          <w:rFonts w:ascii="Times New Roman" w:hAnsi="Times New Roman"/>
          <w:b/>
          <w:i w:val="false"/>
          <w:color w:val="000000"/>
          <w:sz w:val="22"/>
        </w:rPr>
        <w:t xml:space="preserve">(15F)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“Attraction”</w:t>
      </w:r>
      <w:r>
        <w:rPr>
          <w:rFonts w:ascii="Times New Roman" w:hAnsi="Times New Roman"/>
          <w:b w:val="false"/>
          <w:i w:val="false"/>
          <w:color w:val="000000"/>
          <w:sz w:val="22"/>
        </w:rPr>
        <w:t> </w:t>
      </w:r>
      <w:r>
        <w:rPr>
          <w:rFonts w:ascii="Times New Roman" w:hAnsi="Times New Roman"/>
          <w:b w:val="false"/>
          <w:i w:val="false"/>
          <w:color w:val="000000"/>
          <w:sz w:val="22"/>
        </w:rPr>
        <w:t>means a permanently located recreational, cultural, educational, or entertainment activity that is available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w:t>
      </w:r>
      <w:r>
        <w:rPr>
          <w:rFonts w:ascii="Times New Roman" w:hAnsi="Times New Roman"/>
          <w:b w:val="false"/>
          <w:i w:val="false"/>
          <w:color w:val="000000"/>
          <w:sz w:val="22"/>
        </w:rPr>
        <w:t> </w:t>
      </w:r>
      <w:r>
        <w:rPr>
          <w:rFonts w:ascii="Times New Roman" w:hAnsi="Times New Roman"/>
          <w:b w:val="false"/>
          <w:i w:val="false"/>
          <w:color w:val="000000"/>
          <w:sz w:val="22"/>
        </w:rPr>
        <w:t>means community attraction and tourism.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 review committee”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committee established by Iowa Code section </w:t>
      </w:r>
      <w:hyperlink r:id="rId7">
        <w:r>
          <w:rPr>
            <w:rStyle w:val="Hyperlink"/>
            <w:rFonts w:ascii="Times New Roman" w:hAnsi="Times New Roman"/>
            <w:b w:val="false"/>
            <w:i w:val="false"/>
            <w:color w:val="000000"/>
            <w:sz w:val="22"/>
          </w:rPr>
          <w:t>15F.203(2)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“Economic development organization”</w:t>
      </w:r>
      <w:r>
        <w:rPr>
          <w:rFonts w:ascii="Times New Roman" w:hAnsi="Times New Roman"/>
          <w:b w:val="false"/>
          <w:i w:val="false"/>
          <w:color w:val="000000"/>
          <w:sz w:val="22"/>
        </w:rPr>
        <w:t> </w:t>
      </w:r>
      <w:r>
        <w:rPr>
          <w:rFonts w:ascii="Times New Roman" w:hAnsi="Times New Roman"/>
          <w:b w:val="false"/>
          <w:i w:val="false"/>
          <w:color w:val="000000"/>
          <w:sz w:val="22"/>
        </w:rPr>
        <w:t>means an entity organized to position a community to take advantage of economic development opportunities and strengthen a community’s competitiveness as a place to work and live.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“Local support”</w:t>
      </w:r>
      <w:r>
        <w:rPr>
          <w:rFonts w:ascii="Times New Roman" w:hAnsi="Times New Roman"/>
          <w:b w:val="false"/>
          <w:i w:val="false"/>
          <w:color w:val="000000"/>
          <w:sz w:val="22"/>
        </w:rPr>
        <w:t> </w:t>
      </w:r>
      <w:r>
        <w:rPr>
          <w:rFonts w:ascii="Times New Roman" w:hAnsi="Times New Roman"/>
          <w:b w:val="false"/>
          <w:i w:val="false"/>
          <w:color w:val="000000"/>
          <w:sz w:val="22"/>
        </w:rPr>
        <w:t>means endorsement by local individuals, organizations, and political subdivisions that have a substantial interest in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“Nonfinancial support”</w:t>
      </w:r>
      <w:r>
        <w:rPr>
          <w:rFonts w:ascii="Times New Roman" w:hAnsi="Times New Roman"/>
          <w:b w:val="false"/>
          <w:i w:val="false"/>
          <w:color w:val="000000"/>
          <w:sz w:val="22"/>
        </w:rPr>
        <w:t> </w:t>
      </w:r>
      <w:r>
        <w:rPr>
          <w:rFonts w:ascii="Times New Roman" w:hAnsi="Times New Roman"/>
          <w:b w:val="false"/>
          <w:i w:val="false"/>
          <w:color w:val="000000"/>
          <w:sz w:val="22"/>
        </w:rPr>
        <w:t>may include but is not limited to the value of labor and services. Real property and personal property donated for purposes of the project are considered financial support at their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organization”</w:t>
      </w:r>
      <w:r>
        <w:rPr>
          <w:rFonts w:ascii="Times New Roman" w:hAnsi="Times New Roman"/>
          <w:b w:val="false"/>
          <w:i w:val="false"/>
          <w:color w:val="000000"/>
          <w:sz w:val="22"/>
        </w:rPr>
        <w:t> </w:t>
      </w:r>
      <w:r>
        <w:rPr>
          <w:rFonts w:ascii="Times New Roman" w:hAnsi="Times New Roman"/>
          <w:b w:val="false"/>
          <w:i w:val="false"/>
          <w:color w:val="000000"/>
          <w:sz w:val="22"/>
        </w:rPr>
        <w:t>means a not-for-profit economic development organization or other not-for-profit organization, including one that sponsors or supports community or tourism attractions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“Recipient”</w:t>
      </w:r>
      <w:r>
        <w:rPr>
          <w:rFonts w:ascii="Times New Roman" w:hAnsi="Times New Roman"/>
          <w:b w:val="false"/>
          <w:i w:val="false"/>
          <w:color w:val="000000"/>
          <w:sz w:val="22"/>
        </w:rPr>
        <w:t> </w:t>
      </w:r>
      <w:r>
        <w:rPr>
          <w:rFonts w:ascii="Times New Roman" w:hAnsi="Times New Roman"/>
          <w:b w:val="false"/>
          <w:i w:val="false"/>
          <w:color w:val="000000"/>
          <w:sz w:val="22"/>
        </w:rPr>
        <w:t>means the entity under contract to receive CAT funds and undertake the funded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district”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school corporation organized under Iowa Code chapter </w:t>
      </w:r>
      <w:hyperlink r:id="rId8">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“Vertical infrastructure”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15F.203(3)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0137D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261—211.2</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Eligible applicants for CAT funds include cities, counties, public organizations, and school districts in cooperation with a city or county. Any eligible applicant may apply individually or jointly with another eligible applicant or other eligible applicants. A school district must apply jointly with a city or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0137D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261—211.3</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211.3(1)</w:t>
      </w:r>
      <w:r>
        <w:rPr>
          <w:rFonts w:ascii="Times New Roman" w:hAnsi="Times New Roman"/>
          <w:b w:val="false"/>
          <w:i w:val="false"/>
          <w:color w:val="000000"/>
          <w:sz w:val="22"/>
        </w:rPr>
        <w:t> </w:t>
      </w:r>
      <w:r>
        <w:rPr>
          <w:rFonts w:ascii="Times New Roman" w:hAnsi="Times New Roman"/>
          <w:b w:val="false"/>
          <w:i w:val="false"/>
          <w:color w:val="000000"/>
          <w:sz w:val="22"/>
        </w:rPr>
        <w:t>Eligible projects provide recreational, cultural, entertainment, and educational opportunities. Funded projects must position a community to take advantage of economic development opportunities in tourism and strengthen a community’s competitiveness as a place to work and live. Completed projects must be open to the public for general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211.3(2)</w:t>
      </w:r>
      <w:r>
        <w:rPr>
          <w:rFonts w:ascii="Times New Roman" w:hAnsi="Times New Roman"/>
          <w:b w:val="false"/>
          <w:i w:val="false"/>
          <w:color w:val="000000"/>
          <w:sz w:val="22"/>
        </w:rPr>
        <w:t> </w:t>
      </w:r>
      <w:r>
        <w:rPr>
          <w:rFonts w:ascii="Times New Roman" w:hAnsi="Times New Roman"/>
          <w:b w:val="false"/>
          <w:i w:val="false"/>
          <w:color w:val="000000"/>
          <w:sz w:val="22"/>
        </w:rPr>
        <w:t>Eligible CAT projects must be primarily vertical infrastructure projects.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0137D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261—211.4</w:t>
      </w:r>
      <w:r>
        <w:rPr>
          <w:rFonts w:ascii="Times New Roman" w:hAnsi="Times New Roman"/>
          <w:b/>
          <w:i w:val="false"/>
          <w:color w:val="000000"/>
          <w:sz w:val="22"/>
        </w:rPr>
        <w:t xml:space="preserve">(15F) </w:t>
      </w:r>
      <w:r>
        <w:rPr>
          <w:rFonts w:ascii="Times New Roman" w:hAnsi="Times New Roman"/>
          <w:b/>
          <w:i w:val="false"/>
          <w:color w:val="000000"/>
          <w:sz w:val="22"/>
        </w:rPr>
        <w:t xml:space="preserve">Ineligible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211.4(1)</w:t>
      </w:r>
      <w:r>
        <w:rPr>
          <w:rFonts w:ascii="Times New Roman" w:hAnsi="Times New Roman"/>
          <w:b w:val="false"/>
          <w:i w:val="false"/>
          <w:color w:val="000000"/>
          <w:sz w:val="22"/>
        </w:rPr>
        <w:t> </w:t>
      </w:r>
      <w:r>
        <w:rPr>
          <w:rFonts w:ascii="Times New Roman" w:hAnsi="Times New Roman"/>
          <w:b w:val="false"/>
          <w:i w:val="false"/>
          <w:color w:val="000000"/>
          <w:sz w:val="22"/>
        </w:rPr>
        <w:t>The board shall not approve an application for assistance under this program to refinance an existing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211.4(2)</w:t>
      </w:r>
      <w:r>
        <w:rPr>
          <w:rFonts w:ascii="Times New Roman" w:hAnsi="Times New Roman"/>
          <w:b w:val="false"/>
          <w:i w:val="false"/>
          <w:color w:val="000000"/>
          <w:sz w:val="22"/>
        </w:rPr>
        <w:t> </w:t>
      </w:r>
      <w:r>
        <w:rPr>
          <w:rFonts w:ascii="Times New Roman" w:hAnsi="Times New Roman"/>
          <w:b w:val="false"/>
          <w:i w:val="false"/>
          <w:color w:val="000000"/>
          <w:sz w:val="22"/>
        </w:rPr>
        <w:t>A recipient may not receive more than one CAT award for a single project. However, previously funded projects may receive an additional award(s) if the applicant demonstrates that the funding is to be used for a significant expansion of the project or a new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211.4(3)</w:t>
      </w:r>
      <w:r>
        <w:rPr>
          <w:rFonts w:ascii="Times New Roman" w:hAnsi="Times New Roman"/>
          <w:b w:val="false"/>
          <w:i w:val="false"/>
          <w:color w:val="000000"/>
          <w:sz w:val="22"/>
        </w:rPr>
        <w:t> </w:t>
      </w:r>
      <w:r>
        <w:rPr>
          <w:rFonts w:ascii="Times New Roman" w:hAnsi="Times New Roman"/>
          <w:b w:val="false"/>
          <w:i w:val="false"/>
          <w:color w:val="000000"/>
          <w:sz w:val="22"/>
        </w:rPr>
        <w:t>The board shall not approve an application for assistance in which the combination of CAT funds plus other state funds would constitute more than 50 percent of the total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211.4(4)</w:t>
      </w:r>
      <w:r>
        <w:rPr>
          <w:rFonts w:ascii="Times New Roman" w:hAnsi="Times New Roman"/>
          <w:b w:val="false"/>
          <w:i w:val="false"/>
          <w:color w:val="000000"/>
          <w:sz w:val="22"/>
        </w:rPr>
        <w:t> </w:t>
      </w:r>
      <w:r>
        <w:rPr>
          <w:rFonts w:ascii="Times New Roman" w:hAnsi="Times New Roman"/>
          <w:b w:val="false"/>
          <w:i w:val="false"/>
          <w:color w:val="000000"/>
          <w:sz w:val="22"/>
        </w:rPr>
        <w:t>Work completed and costs incurred, except the acquisition of real estate, prior to the date of a potential CAT award are ineligible for funding under the CAT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0137D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261—211.5</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requirements. </w:t>
      </w:r>
      <w:r>
        <w:rPr>
          <w:rFonts w:ascii="Times New Roman" w:hAnsi="Times New Roman"/>
          <w:b w:val="false"/>
          <w:i w:val="false"/>
          <w:color w:val="000000"/>
          <w:sz w:val="22"/>
        </w:rPr>
        <w:t xml:space="preserve">Applications for the program must contain all the information identified in Iowa Code section </w:t>
      </w:r>
      <w:hyperlink r:id="rId10">
        <w:r>
          <w:rPr>
            <w:rStyle w:val="Hyperlink"/>
            <w:rFonts w:ascii="Times New Roman" w:hAnsi="Times New Roman"/>
            <w:b w:val="false"/>
            <w:i w:val="false"/>
            <w:color w:val="000000"/>
            <w:sz w:val="22"/>
          </w:rPr>
          <w:t>15F.202(2)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0137D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261—211.6</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 xml:space="preserve">Authority staff will review applications for completeness and eligibility and as described in subrule </w:t>
      </w:r>
      <w:hyperlink r:id="rId11">
        <w:r>
          <w:rPr>
            <w:rStyle w:val="Hyperlink"/>
            <w:rFonts w:ascii="Times New Roman" w:hAnsi="Times New Roman"/>
            <w:b w:val="false"/>
            <w:i w:val="false"/>
            <w:color w:val="000000"/>
            <w:sz w:val="22"/>
          </w:rPr>
          <w:t>211.7(1)</w:t>
        </w:r>
      </w:hyperlink>
      <w:r>
        <w:rPr>
          <w:rFonts w:ascii="Times New Roman" w:hAnsi="Times New Roman"/>
          <w:b w:val="false"/>
          <w:i w:val="false"/>
          <w:color w:val="000000"/>
          <w:sz w:val="22"/>
        </w:rPr>
        <w:t>. A review, analysis, and evaluation from the authority staff will be submitted to the CAT review committee, which will then make a final recommendation to the board for final approval, denial, or deferral.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211.6(1)</w:t>
      </w:r>
      <w:r>
        <w:rPr>
          <w:rFonts w:ascii="Times New Roman" w:hAnsi="Times New Roman"/>
          <w:b w:val="false"/>
          <w:i w:val="false"/>
          <w:color w:val="000000"/>
          <w:sz w:val="22"/>
        </w:rPr>
        <w:t> </w:t>
      </w:r>
      <w:r>
        <w:rPr>
          <w:rFonts w:ascii="Times New Roman" w:hAnsi="Times New Roman"/>
          <w:b w:val="false"/>
          <w:i w:val="false"/>
          <w:color w:val="000000"/>
          <w:sz w:val="22"/>
        </w:rPr>
        <w:t>Applicants must submit a notice of intent to apply on a form provided by the authority. The authority will send standard application forms to those applicants who have submitted a notice of intent to apply. The notice of intent to apply form will be available on the authority’s website. The authority can waive this requirement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211.6(2)</w:t>
      </w:r>
      <w:r>
        <w:rPr>
          <w:rFonts w:ascii="Times New Roman" w:hAnsi="Times New Roman"/>
          <w:b w:val="false"/>
          <w:i w:val="false"/>
          <w:color w:val="000000"/>
          <w:sz w:val="22"/>
        </w:rPr>
        <w:t> </w:t>
      </w:r>
      <w:r>
        <w:rPr>
          <w:rFonts w:ascii="Times New Roman" w:hAnsi="Times New Roman"/>
          <w:b w:val="false"/>
          <w:i w:val="false"/>
          <w:color w:val="000000"/>
          <w:sz w:val="22"/>
        </w:rPr>
        <w:t>Authority staff may provide technical assistance as necessary. Authority staff and board members may conduct on-site evaluations of proposed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211.6(3)</w:t>
      </w:r>
      <w:r>
        <w:rPr>
          <w:rFonts w:ascii="Times New Roman" w:hAnsi="Times New Roman"/>
          <w:b w:val="false"/>
          <w:i w:val="false"/>
          <w:color w:val="000000"/>
          <w:sz w:val="22"/>
        </w:rPr>
        <w:t> </w:t>
      </w:r>
      <w:r>
        <w:rPr>
          <w:rFonts w:ascii="Times New Roman" w:hAnsi="Times New Roman"/>
          <w:b w:val="false"/>
          <w:i w:val="false"/>
          <w:color w:val="000000"/>
          <w:sz w:val="22"/>
        </w:rPr>
        <w:t>Incomplete or ineligible applications will not be forwarded to the CAT review committee or board for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0137D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261—211.7</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211.7(1)</w:t>
      </w:r>
      <w:r>
        <w:rPr>
          <w:rFonts w:ascii="Times New Roman" w:hAnsi="Times New Roman"/>
          <w:b w:val="false"/>
          <w:i w:val="false"/>
          <w:color w:val="000000"/>
          <w:sz w:val="22"/>
        </w:rPr>
        <w:t> </w:t>
      </w:r>
      <w:r>
        <w:rPr>
          <w:rFonts w:ascii="Times New Roman" w:hAnsi="Times New Roman"/>
          <w:b w:val="false"/>
          <w:i w:val="false"/>
          <w:color w:val="000000"/>
          <w:sz w:val="22"/>
        </w:rPr>
        <w:t>Authority staff will review each application for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application documents local support for the proposed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proposed project is primarily a vertical infrastructure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at least 65 percent of the funds needed to complete the proposed project have been raised or pledged. Other state funds cannot be counted as match until the applicant can document that at least 50 percent of the funds have been raised. Moneys raised at any time and not yet spent may be considered as local match. Up to 25 percent of the local match may be nonfinancial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CAT review committee shall consider, at a minimum, the criteria identified in Iowa Code section </w:t>
      </w:r>
      <w:hyperlink r:id="rId12">
        <w:r>
          <w:rPr>
            <w:rStyle w:val="Hyperlink"/>
            <w:rFonts w:ascii="Times New Roman" w:hAnsi="Times New Roman"/>
            <w:b w:val="false"/>
            <w:i w:val="false"/>
            <w:color w:val="000000"/>
            <w:sz w:val="22"/>
          </w:rPr>
          <w:t>15F.203(3)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0137D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261—211.8</w:t>
      </w:r>
      <w:r>
        <w:rPr>
          <w:rFonts w:ascii="Times New Roman" w:hAnsi="Times New Roman"/>
          <w:b/>
          <w:i w:val="false"/>
          <w:color w:val="000000"/>
          <w:sz w:val="22"/>
        </w:rPr>
        <w:t xml:space="preserve">(15F)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awards.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contract shall be executed between the recipient and authority. The authority and the board reserve the right to negotiate terms and conditions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recipient must execute and return the contract within 45 days of transmittal of the final contract. Failure to do so may be cause for the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Certain projects may require that permits or clearances be obtained from other state or local agencies before the project may proceed. Awards may be conditioned upon the timely completion of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Awards may be conditioned upon commitment of other sources of funds necessary to complete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Awards may be conditioned upon the authority’s receipt and board approval of an implementation plan for the funded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211.8(2)</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Recipients shall submit requests for funds in the manner and on forms prescribed by the authority. Individual requests for funds shall be made in an amount equal to or greater than $1,000 per request, except for the final draw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211.8(3)</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retention. </w:t>
      </w:r>
      <w:r>
        <w:rPr>
          <w:rFonts w:ascii="Times New Roman" w:hAnsi="Times New Roman"/>
          <w:b w:val="false"/>
          <w:i w:val="false"/>
          <w:color w:val="000000"/>
          <w:sz w:val="22"/>
        </w:rPr>
        <w:t>The recipient shall retain all financial records, all supporting documents, and all other records pertinent to the funded CAT project for three years after contract closeout. Representatives of the authority or its designees shall have access to all records belonging to or in use by recipients pertaining to CAT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211.8(4)</w:t>
      </w:r>
      <w:r>
        <w:rPr>
          <w:rFonts w:ascii="Times New Roman" w:hAnsi="Times New Roman"/>
          <w:b w:val="false"/>
          <w:i w:val="false"/>
          <w:color w:val="000000"/>
          <w:sz w:val="22"/>
        </w:rPr>
        <w:t> </w:t>
      </w:r>
      <w:r>
        <w:rPr>
          <w:rFonts w:ascii="Times New Roman" w:hAnsi="Times New Roman"/>
          <w:b w:val="false"/>
          <w:i/>
          <w:color w:val="000000"/>
          <w:sz w:val="22"/>
        </w:rPr>
        <w:t xml:space="preserve">Performance reports and reviews. </w:t>
      </w:r>
      <w:r>
        <w:rPr>
          <w:rFonts w:ascii="Times New Roman" w:hAnsi="Times New Roman"/>
          <w:b w:val="false"/>
          <w:i w:val="false"/>
          <w:color w:val="000000"/>
          <w:sz w:val="22"/>
        </w:rPr>
        <w:t>Upon request of the authority or the board, recipients shall submit performance reports in the manner and on forms prescribed by the authority. Reports shall assess the use of funds and progress of activities. The authority may perform any reviews or site visits necessary to ensure each recipient’s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211.8(5)</w:t>
      </w:r>
      <w:r>
        <w:rPr>
          <w:rFonts w:ascii="Times New Roman" w:hAnsi="Times New Roman"/>
          <w:b w:val="false"/>
          <w:i w:val="false"/>
          <w:color w:val="000000"/>
          <w:sz w:val="22"/>
        </w:rPr>
        <w:t> </w:t>
      </w:r>
      <w:r>
        <w:rPr>
          <w:rFonts w:ascii="Times New Roman" w:hAnsi="Times New Roman"/>
          <w:b w:val="false"/>
          <w:i/>
          <w:color w:val="000000"/>
          <w:sz w:val="22"/>
        </w:rPr>
        <w:t xml:space="preserve">Amendments to contracts. </w:t>
      </w:r>
      <w:r>
        <w:rPr>
          <w:rFonts w:ascii="Times New Roman" w:hAnsi="Times New Roman"/>
          <w:b w:val="false"/>
          <w:i w:val="false"/>
          <w:color w:val="000000"/>
          <w:sz w:val="22"/>
        </w:rPr>
        <w:t>Any substantive change to a contract shall be considered an amendment. Substantive changes include time extensions, budget revisions and significant alterations of the funded project that change the scope, location, objectives or scale of the approved project. Amendments must be requested in writing by the recipient and are not considered valid until approved by the board and confirmed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211.8(6)</w:t>
      </w:r>
      <w:r>
        <w:rPr>
          <w:rFonts w:ascii="Times New Roman" w:hAnsi="Times New Roman"/>
          <w:b w:val="false"/>
          <w:i w:val="false"/>
          <w:color w:val="000000"/>
          <w:sz w:val="22"/>
        </w:rPr>
        <w:t> </w:t>
      </w:r>
      <w:r>
        <w:rPr>
          <w:rFonts w:ascii="Times New Roman" w:hAnsi="Times New Roman"/>
          <w:b w:val="false"/>
          <w:i/>
          <w:color w:val="000000"/>
          <w:sz w:val="22"/>
        </w:rPr>
        <w:t xml:space="preserve">Contract closeout. </w:t>
      </w:r>
      <w:r>
        <w:rPr>
          <w:rFonts w:ascii="Times New Roman" w:hAnsi="Times New Roman"/>
          <w:b w:val="false"/>
          <w:i w:val="false"/>
          <w:color w:val="000000"/>
          <w:sz w:val="22"/>
        </w:rPr>
        <w:t>Upon project completion, the authority shall initiate contract closeout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211.8(7)</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state and local laws and regulations. </w:t>
      </w:r>
      <w:r>
        <w:rPr>
          <w:rFonts w:ascii="Times New Roman" w:hAnsi="Times New Roman"/>
          <w:b w:val="false"/>
          <w:i w:val="false"/>
          <w:color w:val="000000"/>
          <w:sz w:val="22"/>
        </w:rPr>
        <w:t>Recipients shall comply with all applicable federal, state or local laws, rules or regulations, including but not limited to these rules, any provisions of the Iowa Code governing the program, or the recipient’s project or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211.8(8)</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t>
      </w:r>
      <w:r>
        <w:rPr>
          <w:rFonts w:ascii="Times New Roman" w:hAnsi="Times New Roman"/>
          <w:b w:val="false"/>
          <w:i w:val="false"/>
          <w:color w:val="000000"/>
          <w:sz w:val="22"/>
        </w:rPr>
        <w:t>At any time before contract closeout, the authority may, for cause, find that a recipient is not in compliance with the requirements of this program. Remedies for noncompliance may include penalties up to and including the return of program funds. Reasons for a finding of noncompliance include but are not limited to the recipient’s use of funds for activities not described in the contract, the recipient’s failure to complete funded projects in a timely manner, the recipient’s failure to comply with applicable federal, state or local laws, rules or regulations, or the lack of a continuing capacity of the recipient to carry out the approved project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0137D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261—211.9</w:t>
      </w:r>
      <w:r>
        <w:rPr>
          <w:rFonts w:ascii="Times New Roman" w:hAnsi="Times New Roman"/>
          <w:b/>
          <w:i w:val="false"/>
          <w:color w:val="000000"/>
          <w:sz w:val="22"/>
        </w:rPr>
        <w:t xml:space="preserve">(15F) </w:t>
      </w:r>
      <w:r>
        <w:rPr>
          <w:rFonts w:ascii="Times New Roman" w:hAnsi="Times New Roman"/>
          <w:b/>
          <w:i w:val="false"/>
          <w:color w:val="000000"/>
          <w:sz w:val="22"/>
        </w:rPr>
        <w:t xml:space="preserve">Allocation of funds. </w:t>
      </w:r>
      <w:r>
        <w:rPr>
          <w:rFonts w:ascii="Times New Roman" w:hAnsi="Times New Roman"/>
          <w:b w:val="false"/>
          <w:i w:val="false"/>
          <w:color w:val="000000"/>
          <w:sz w:val="22"/>
        </w:rPr>
        <w:t xml:space="preserve">Funds shall be allocated in accordance with Iowa Code section </w:t>
      </w:r>
      <w:hyperlink r:id="rId13">
        <w:r>
          <w:rPr>
            <w:rStyle w:val="Hyperlink"/>
            <w:rFonts w:ascii="Times New Roman" w:hAnsi="Times New Roman"/>
            <w:b w:val="false"/>
            <w:i w:val="false"/>
            <w:color w:val="000000"/>
            <w:sz w:val="22"/>
          </w:rPr>
          <w:t>15F.204(5)</w:t>
        </w:r>
      </w:hyperlink>
      <w:r>
        <w:rPr>
          <w:rFonts w:ascii="Times New Roman" w:hAnsi="Times New Roman"/>
          <w:b w:val="false"/>
          <w:i w:val="false"/>
          <w:color w:val="000000"/>
          <w:sz w:val="22"/>
        </w:rPr>
        <w:t xml:space="preserve"> through </w:t>
      </w:r>
      <w:hyperlink r:id="rId14">
        <w:r>
          <w:rPr>
            <w:rStyle w:val="Hyperlink"/>
            <w:rFonts w:ascii="Times New Roman" w:hAnsi="Times New Roman"/>
            <w:b w:val="false"/>
            <w:i w:val="false"/>
            <w:color w:val="000000"/>
            <w:sz w:val="22"/>
          </w:rPr>
          <w:t>15F.204(8)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0137D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15F</w:t>
        </w:r>
      </w:hyperlink>
      <w:r>
        <w:rPr>
          <w:rFonts w:ascii="Times New Roman" w:hAnsi="Times New Roman"/>
          <w:b w:val="false"/>
          <w:i w:val="false"/>
          <w:color w:val="000000"/>
          <w:sz w:val="22"/>
        </w:rPr>
        <w:t>, subchapter II.</w:t>
      </w:r>
    </w:p>
    <w:p>
      <w:pPr>
        <w:spacing w:before="0" w:after="0"/>
        <w:ind w:left="120"/>
        <w:jc w:val="center"/>
      </w:pPr>
      <w:r>
        <w:rPr>
          <w:rFonts w:ascii="Times New Roman" w:hAnsi="Times New Roman"/>
          <w:b w:val="false"/>
          <w:i w:val="false"/>
          <w:color w:val="000000"/>
          <w:sz w:val="21"/>
        </w:rPr>
        <w:t>[Filed emergency 6/18/99—published 7/14/99, effective 7/1/99]</w:t>
      </w:r>
    </w:p>
    <w:p>
      <w:pPr>
        <w:spacing w:before="0" w:after="0"/>
        <w:ind w:left="120"/>
        <w:jc w:val="center"/>
      </w:pPr>
      <w:r>
        <w:rPr>
          <w:rFonts w:ascii="Times New Roman" w:hAnsi="Times New Roman"/>
          <w:b w:val="false"/>
          <w:i w:val="false"/>
          <w:color w:val="000000"/>
          <w:sz w:val="21"/>
        </w:rPr>
        <w:t>[Filed 8/20/99, Notice 7/14/99—published 9/8/99, effective 10/13/99]</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10/23/00, Notice 9/6/00—published 11/15/00, effective 12/20/00]</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8034B, IAB 8/12/09, effective 7/17/09]</w:t>
      </w:r>
    </w:p>
    <w:p>
      <w:pPr>
        <w:spacing w:before="0" w:after="0"/>
        <w:ind w:left="120"/>
        <w:jc w:val="center"/>
      </w:pPr>
      <w:r>
        <w:rPr>
          <w:rFonts w:ascii="Times New Roman" w:hAnsi="Times New Roman"/>
          <w:b w:val="false"/>
          <w:i w:val="false"/>
          <w:color w:val="000000"/>
          <w:sz w:val="21"/>
        </w:rPr>
        <w:t>[Filed ARC 8213B</w:t>
      </w:r>
      <w:r>
        <w:rPr>
          <w:rFonts w:ascii="Times New Roman" w:hAnsi="Times New Roman"/>
          <w:b w:val="false"/>
          <w:i w:val="false"/>
          <w:color w:val="000000"/>
          <w:sz w:val="21"/>
        </w:rPr>
        <w:t xml:space="preserve"> (Notice ARC 8033B, IAB 8/12/09)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4513C</w:t>
      </w:r>
      <w:r>
        <w:rPr>
          <w:rFonts w:ascii="Times New Roman" w:hAnsi="Times New Roman"/>
          <w:b w:val="false"/>
          <w:i w:val="false"/>
          <w:color w:val="000000"/>
          <w:sz w:val="21"/>
        </w:rPr>
        <w:t xml:space="preserve"> (Notice ARC 4329C, IAB 3/13/19)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5028C</w:t>
      </w:r>
      <w:r>
        <w:rPr>
          <w:rFonts w:ascii="Times New Roman" w:hAnsi="Times New Roman"/>
          <w:b w:val="false"/>
          <w:i w:val="false"/>
          <w:color w:val="000000"/>
          <w:sz w:val="21"/>
        </w:rPr>
        <w:t xml:space="preserve"> (Notice ARC 4670C, IAB 9/25/19)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[Editorial change: IAC Supplement 7/10/24]</w:t>
      </w:r>
    </w:p>
    <w:p>
      <w:pPr>
        <w:spacing w:before="0" w:after="0"/>
        <w:ind w:left="120"/>
        <w:jc w:val="center"/>
      </w:pPr>
      <w:r>
        <w:rPr>
          <w:rFonts w:ascii="Times New Roman" w:hAnsi="Times New Roman"/>
          <w:b w:val="false"/>
          <w:i w:val="false"/>
          <w:color w:val="000000"/>
          <w:sz w:val="21"/>
        </w:rPr>
        <w:t>[Filed ARC 0137D</w:t>
      </w:r>
      <w:r>
        <w:rPr>
          <w:rFonts w:ascii="Times New Roman" w:hAnsi="Times New Roman"/>
          <w:b w:val="false"/>
          <w:i w:val="false"/>
          <w:color w:val="000000"/>
          <w:sz w:val="21"/>
        </w:rPr>
        <w:t xml:space="preserve"> (Notice ARC 9834C, IAB 12/24/25)</w:t>
      </w:r>
      <w:r>
        <w:rPr>
          <w:rFonts w:ascii="Times New Roman" w:hAnsi="Times New Roman"/>
          <w:b w:val="false"/>
          <w:i w:val="false"/>
          <w:color w:val="000000"/>
          <w:sz w:val="21"/>
        </w:rPr>
        <w:t>, IAB 3/18/26, effective 4/22/26]</w:t>
      </w:r>
    </w:p>
    <w:sectPr>
      <w:footerReference r:id="rId16"/>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2.pdf" Type="http://schemas.openxmlformats.org/officeDocument/2006/relationships/hyperlink" Id="rId6"/>
    <Relationship TargetMode="External" Target="https://www.legis.iowa.gov/docs/ico/chapter/15F.203.pdf" Type="http://schemas.openxmlformats.org/officeDocument/2006/relationships/hyperlink" Id="rId7"/>
    <Relationship TargetMode="External" Target="https://www.legis.iowa.gov/docs/ico/chapter/274.pdf" Type="http://schemas.openxmlformats.org/officeDocument/2006/relationships/hyperlink" Id="rId8"/>
    <Relationship TargetMode="External" Target="https://www.legis.iowa.gov/docs/ico/chapter/15F.203.pdf" Type="http://schemas.openxmlformats.org/officeDocument/2006/relationships/hyperlink" Id="rId9"/>
    <Relationship TargetMode="External" Target="https://www.legis.iowa.gov/docs/ico/chapter/15F.202.pdf" Type="http://schemas.openxmlformats.org/officeDocument/2006/relationships/hyperlink" Id="rId10"/>
    <Relationship TargetMode="External" Target="https://www.legis.iowa.gov/docs/iac/rule/261.211.7.pdf" Type="http://schemas.openxmlformats.org/officeDocument/2006/relationships/hyperlink" Id="rId11"/>
    <Relationship TargetMode="External" Target="https://www.legis.iowa.gov/docs/ico/chapter/15F.203.pdf" Type="http://schemas.openxmlformats.org/officeDocument/2006/relationships/hyperlink" Id="rId12"/>
    <Relationship TargetMode="External" Target="https://www.legis.iowa.gov/docs/ico/chapter/15F.204.pdf" Type="http://schemas.openxmlformats.org/officeDocument/2006/relationships/hyperlink" Id="rId13"/>
    <Relationship TargetMode="External" Target="https://www.legis.iowa.gov/docs/ico/chapter/15F.204.pdf" Type="http://schemas.openxmlformats.org/officeDocument/2006/relationships/hyperlink" Id="rId14"/>
    <Relationship TargetMode="External" Target="https://www.legis.iowa.gov/docs/ico/chapter/15F.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