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LENGTH OF SERVICE AWARDS PROGRAM GRANT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1/28/31</w:t>
      </w:r>
    </w:p>
    <w:p>
      <w:pPr>
        <w:spacing w:before="0" w:after="0"/>
        <w:ind w:left="120"/>
        <w:jc w:val="both"/>
      </w:pPr>
      <w:r>
        <w:rPr>
          <w:rFonts w:ascii="Times New Roman" w:hAnsi="Times New Roman"/>
          <w:b/>
          <w:i w:val="false"/>
          <w:color w:val="000000"/>
          <w:sz w:val="22"/>
        </w:rPr>
        <w:t>261—21.1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length of service awards program grant fund is created pursuant to and for the purposes stated under Iowa Code section </w:t>
      </w:r>
      <w:hyperlink r:id="rId5">
        <w:r>
          <w:rPr>
            <w:rStyle w:val="Hyperlink"/>
            <w:rFonts w:ascii="Times New Roman" w:hAnsi="Times New Roman"/>
            <w:b w:val="false"/>
            <w:i w:val="false"/>
            <w:color w:val="000000"/>
            <w:sz w:val="22"/>
          </w:rPr>
          <w:t>100B.52</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eligible municipality that is applying for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established pursuant to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 xml:space="preserve">means financial assistance provided by the authority from the length of service awards program grant fund established pursuant to Iowa Code section </w:t>
      </w:r>
      <w:hyperlink r:id="rId8">
        <w:r>
          <w:rPr>
            <w:rStyle w:val="Hyperlink"/>
            <w:rFonts w:ascii="Times New Roman" w:hAnsi="Times New Roman"/>
            <w:b w:val="false"/>
            <w:i w:val="false"/>
            <w:color w:val="000000"/>
            <w:sz w:val="22"/>
          </w:rPr>
          <w:t>100B.52</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 and administered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100B.21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volunteer emergency medical care provider, reserve peace officer or volunteer firefighter receiving funds under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a length of service award program created by an applicant that meets the requirements set forth in Iowa Code section </w:t>
      </w:r>
      <w:hyperlink r:id="rId10">
        <w:r>
          <w:rPr>
            <w:rStyle w:val="Hyperlink"/>
            <w:rFonts w:ascii="Times New Roman" w:hAnsi="Times New Roman"/>
            <w:b w:val="false"/>
            <w:i w:val="false"/>
            <w:color w:val="000000"/>
            <w:sz w:val="22"/>
          </w:rPr>
          <w:t>100B.51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 and Title 26 of the U.S. Code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457(e)(11)).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 municipality that has been awarded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80D.1A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100B.51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firefighter”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for a grant, an applicant must be a municipality that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 xml:space="preserve">Created a program by resolution or ordinance from the municipality’s governing body for volunteer emergency medical care providers, volunteer firefighters and reserve peace officers and confirmed by such resolution or ordinance that the program meets the requirements set forth in Iowa Code section </w:t>
      </w:r>
      <w:hyperlink r:id="rId14">
        <w:r>
          <w:rPr>
            <w:rStyle w:val="Hyperlink"/>
            <w:rFonts w:ascii="Times New Roman" w:hAnsi="Times New Roman"/>
            <w:b w:val="false"/>
            <w:i w:val="false"/>
            <w:color w:val="000000"/>
            <w:sz w:val="22"/>
          </w:rPr>
          <w:t>100B.51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 and Title 26 of the U.S. Code (26 U.S.C. Section 457).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Created a dedicated account for the sole purpose of funding and managing its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An applicant will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Electronically file the applicant’s grant application in the form and content prescribed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Provide the authority with a certified copy of a resolution or ordinance from the applicant’s governing body creating a qualified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Provide the authority with a roster of participants in the applicant’s program. Volunteer emergency medical care providers, reserve peace officers and volunteer firefighters shall only be included in a roster for one program per application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review process. </w:t>
      </w:r>
      <w:r>
        <w:rPr>
          <w:rFonts w:ascii="Times New Roman" w:hAnsi="Times New Roman"/>
          <w:b w:val="false"/>
          <w:i w:val="false"/>
          <w:color w:val="000000"/>
          <w:sz w:val="22"/>
        </w:rPr>
        <w:t xml:space="preserve">An application will be reviewed by the authority for funding approval based on an applicant’s eligibility and the completeness of the applicant’s application. Based on the review process and subject to available funding, the authority may revise the applicant’s overall funding request pursuant to Iowa Code section </w:t>
      </w:r>
      <w:hyperlink r:id="rId15">
        <w:r>
          <w:rPr>
            <w:rStyle w:val="Hyperlink"/>
            <w:rFonts w:ascii="Times New Roman" w:hAnsi="Times New Roman"/>
            <w:b w:val="false"/>
            <w:i w:val="false"/>
            <w:color w:val="000000"/>
            <w:sz w:val="22"/>
          </w:rPr>
          <w:t>100B.52</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w:t>
      </w:r>
      <w:r>
        <w:rPr>
          <w:rFonts w:ascii="Times New Roman" w:hAnsi="Times New Roman"/>
          <w:b/>
          <w:i w:val="false"/>
          <w:color w:val="000000"/>
          <w:sz w:val="22"/>
        </w:rPr>
        <w:t xml:space="preserve">(15) </w:t>
      </w:r>
      <w:r>
        <w:rPr>
          <w:rFonts w:ascii="Times New Roman" w:hAnsi="Times New Roman"/>
          <w:b/>
          <w:i w:val="false"/>
          <w:color w:val="000000"/>
          <w:sz w:val="22"/>
        </w:rPr>
        <w:t xml:space="preserve">Matching contributions. </w:t>
      </w:r>
      <w:r>
        <w:rPr>
          <w:rFonts w:ascii="Times New Roman" w:hAnsi="Times New Roman"/>
          <w:b w:val="false"/>
          <w:i w:val="false"/>
          <w:color w:val="000000"/>
          <w:sz w:val="22"/>
        </w:rPr>
        <w:t xml:space="preserve">A recipient shall meet the match requirements specified in Iowa Code section </w:t>
      </w:r>
      <w:hyperlink r:id="rId16">
        <w:r>
          <w:rPr>
            <w:rStyle w:val="Hyperlink"/>
            <w:rFonts w:ascii="Times New Roman" w:hAnsi="Times New Roman"/>
            <w:b w:val="false"/>
            <w:i w:val="false"/>
            <w:color w:val="000000"/>
            <w:sz w:val="22"/>
          </w:rPr>
          <w:t>100B.52</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261—21.7</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a successful applicant in writing of the applicant’s approved application for funding and prepare an agreement that reflects the terms of the grant award. The successful applicant must execute and return the agreement to the authority within 45 days of the transmittal of the final agreement from the authority. Failure to do so may result in the authority terminating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Following execution of the final agreement, the authority will disburse the grant funds to the recipient for deposit into the recipient’s dedicated program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A recipient shall allow access by the Office of Auditor of State, the authority or the authority’s designee to all books, accounts, reports and other records pertaining to the recipient’s receipt of a grant, management of and contributions made to the recipient’s dedicated program account, and the administration of the recipient’s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Should the authority find that a recipient is not in compliance with any of the requirements for receiving a grant, the authority may employ any remedies it deems appropriate,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stating that continued failure to comply with grant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award on correcting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awarded funds be remitted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award funds to the recipient until appropriate actions are taken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 a future award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261—21.8</w:t>
      </w:r>
      <w:r>
        <w:rPr>
          <w:rFonts w:ascii="Times New Roman" w:hAnsi="Times New Roman"/>
          <w:b/>
          <w:i w:val="false"/>
          <w:color w:val="000000"/>
          <w:sz w:val="22"/>
        </w:rPr>
        <w:t xml:space="preserve">(15)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United States Code in this chapter are to the laws as in effect January 28,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9857C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100B.52</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9857C</w:t>
      </w:r>
      <w:r>
        <w:rPr>
          <w:rFonts w:ascii="Times New Roman" w:hAnsi="Times New Roman"/>
          <w:b w:val="false"/>
          <w:i w:val="false"/>
          <w:color w:val="000000"/>
          <w:sz w:val="21"/>
        </w:rPr>
        <w:t xml:space="preserve"> (Notice ARC 9611C, IAB 10/15/25)</w:t>
      </w:r>
      <w:r>
        <w:rPr>
          <w:rFonts w:ascii="Times New Roman" w:hAnsi="Times New Roman"/>
          <w:b w:val="false"/>
          <w:i w:val="false"/>
          <w:color w:val="000000"/>
          <w:sz w:val="21"/>
        </w:rPr>
        <w:t>, IAB 12/24/25, effective 1/28/26]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B.52.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47A.1.pdf" Type="http://schemas.openxmlformats.org/officeDocument/2006/relationships/hyperlink" Id="rId7"/>
    <Relationship TargetMode="External" Target="https://www.legis.iowa.gov/docs/ico/chapter/100B.52.pdf" Type="http://schemas.openxmlformats.org/officeDocument/2006/relationships/hyperlink" Id="rId8"/>
    <Relationship TargetMode="External" Target="https://www.legis.iowa.gov/docs/ico/chapter/100B.21.pdf" Type="http://schemas.openxmlformats.org/officeDocument/2006/relationships/hyperlink" Id="rId9"/>
    <Relationship TargetMode="External" Target="https://www.legis.iowa.gov/docs/ico/chapter/100B.51.pdf" Type="http://schemas.openxmlformats.org/officeDocument/2006/relationships/hyperlink" Id="rId10"/>
    <Relationship TargetMode="External" Target="https://www.legis.iowa.gov/docs/ico/chapter/80D.1A.pdf" Type="http://schemas.openxmlformats.org/officeDocument/2006/relationships/hyperlink" Id="rId11"/>
    <Relationship TargetMode="External" Target="https://www.legis.iowa.gov/docs/ico/chapter/100B.51.pdf" Type="http://schemas.openxmlformats.org/officeDocument/2006/relationships/hyperlink" Id="rId12"/>
    <Relationship TargetMode="External" Target="https://www.legis.iowa.gov/docs/ico/chapter/85.61.pdf" Type="http://schemas.openxmlformats.org/officeDocument/2006/relationships/hyperlink" Id="rId13"/>
    <Relationship TargetMode="External" Target="https://www.legis.iowa.gov/docs/ico/chapter/100B.51.pdf" Type="http://schemas.openxmlformats.org/officeDocument/2006/relationships/hyperlink" Id="rId14"/>
    <Relationship TargetMode="External" Target="https://www.legis.iowa.gov/docs/ico/chapter/100B.52.pdf" Type="http://schemas.openxmlformats.org/officeDocument/2006/relationships/hyperlink" Id="rId15"/>
    <Relationship TargetMode="External" Target="https://www.legis.iowa.gov/docs/ico/chapter/100B.52.pdf" Type="http://schemas.openxmlformats.org/officeDocument/2006/relationships/hyperlink" Id="rId16"/>
    <Relationship TargetMode="External" Target="https://www.legis.iowa.gov/docs/ico/chapter/100B.5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