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PART X</w:t>
      </w: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COMMUNITY ATTRACTION AND INVESTMENT PROGRAMS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w:t>
      </w:r>
    </w:p>
    <w:p>
      <w:pPr>
        <w:spacing w:before="0" w:after="0"/>
        <w:ind w:left="120"/>
        <w:jc w:val="center"/>
      </w:pPr>
      <w:r>
        <w:rPr>
          <w:rFonts w:ascii="Times New Roman" w:hAnsi="Times New Roman"/>
          <w:b w:val="false"/>
          <w:i w:val="false"/>
          <w:color w:val="000000"/>
          <w:sz w:val="21"/>
        </w:rPr>
        <w:t>REINVESTMENT DISTRICTS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261—200.1</w:t>
      </w:r>
      <w:r>
        <w:rPr>
          <w:rFonts w:ascii="Times New Roman" w:hAnsi="Times New Roman"/>
          <w:b/>
          <w:i w:val="false"/>
          <w:color w:val="000000"/>
          <w:sz w:val="22"/>
        </w:rPr>
        <w:t xml:space="preserve">(15J)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“Account”</w:t>
      </w:r>
      <w:r>
        <w:rPr>
          <w:rFonts w:ascii="Times New Roman" w:hAnsi="Times New Roman"/>
          <w:b w:val="false"/>
          <w:i w:val="false"/>
          <w:color w:val="000000"/>
          <w:sz w:val="22"/>
        </w:rPr>
        <w:t> </w:t>
      </w:r>
      <w:r>
        <w:rPr>
          <w:rFonts w:ascii="Times New Roman" w:hAnsi="Times New Roman"/>
          <w:b w:val="false"/>
          <w:i w:val="false"/>
          <w:color w:val="000000"/>
          <w:sz w:val="22"/>
        </w:rPr>
        <w:t>means the district account that is created within the fund for each municipality that has established a district and that holds the new tax revenues deposited by the department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municipality applying to the board and the authority for approval of a district under the program, including the preapplication process described in rule </w:t>
      </w:r>
      <w:hyperlink r:id="rId5">
        <w:r>
          <w:rPr>
            <w:rStyle w:val="Hyperlink"/>
            <w:rFonts w:ascii="Times New Roman" w:hAnsi="Times New Roman"/>
            <w:b w:val="false"/>
            <w:i w:val="false"/>
            <w:color w:val="000000"/>
            <w:sz w:val="22"/>
          </w:rPr>
          <w:t>261—200.2</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“Commencement date”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“Due diligence 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due diligence committee of the board established pursuant to </w:t>
      </w:r>
      <w:hyperlink r:id="rId10">
        <w:r>
          <w:rPr>
            <w:rStyle w:val="Hyperlink"/>
            <w:rFonts w:ascii="Times New Roman" w:hAnsi="Times New Roman"/>
            <w:b w:val="false"/>
            <w:i w:val="false"/>
            <w:color w:val="000000"/>
            <w:sz w:val="22"/>
          </w:rPr>
          <w:t>261—Chapter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“Joint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legal entity established or designated in an agreement made pursuant to Iowa Code chapter </w:t>
      </w:r>
      <w:hyperlink r:id="rId12">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between two or more contiguous counties or incorporated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“Maximum benefit amount”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total amount of new tax revenues that may be remitted to a municipality’s account and used for development in a district. The maximum benefit will be established by the board when a final application to the program is approved pursuant to rule </w:t>
      </w:r>
      <w:hyperlink r:id="rId13">
        <w:r>
          <w:rPr>
            <w:rStyle w:val="Hyperlink"/>
            <w:rFonts w:ascii="Times New Roman" w:hAnsi="Times New Roman"/>
            <w:b w:val="false"/>
            <w:i w:val="false"/>
            <w:color w:val="000000"/>
            <w:sz w:val="22"/>
          </w:rPr>
          <w:t>261—200.5</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“Municipality”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 lessor”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 retail establishment”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 tax revenues”</w:t>
      </w:r>
      <w:r>
        <w:rPr>
          <w:rFonts w:ascii="Times New Roman" w:hAnsi="Times New Roman"/>
          <w:b w:val="false"/>
          <w:i w:val="false"/>
          <w:color w:val="000000"/>
          <w:sz w:val="22"/>
        </w:rPr>
        <w:t> </w:t>
      </w:r>
      <w:r>
        <w:rPr>
          <w:rFonts w:ascii="Times New Roman" w:hAnsi="Times New Roman"/>
          <w:b w:val="false"/>
          <w:i w:val="false"/>
          <w:color w:val="000000"/>
          <w:sz w:val="22"/>
        </w:rPr>
        <w:t>means all state sales tax revenues and state hotel and motel tax revenues that are collected within a district by new retail establishments and new lessors, provided that such new retail establishments and lessors are included as projects in an approved district plan. New tax revenues are remitted to the department after collection by new retail establishments and new lessors and deposited by the department in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reinvestment district program established pursuant to Iowa Code chapter </w:t>
      </w:r>
      <w:hyperlink r:id="rId17">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“Retail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business engaged in the business of selling tangible personal property or taxable services at retail in this state that is obligated to collect state sales or use tax under Iowa Code chapter </w:t>
      </w:r>
      <w:hyperlink r:id="rId19">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However, for the purposes of this chapter, “retail business” does not include a new lessor or a business engaged in an activity subject to tax under Iowa Code section </w:t>
      </w:r>
      <w:hyperlink r:id="rId20">
        <w:r>
          <w:rPr>
            <w:rStyle w:val="Hyperlink"/>
            <w:rFonts w:ascii="Times New Roman" w:hAnsi="Times New Roman"/>
            <w:b w:val="false"/>
            <w:i w:val="false"/>
            <w:color w:val="000000"/>
            <w:sz w:val="22"/>
          </w:rPr>
          <w:t>423.2(3)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hotel and motel tax”</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sales tax”</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“Substantially improved”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“Unique nature”</w:t>
      </w:r>
      <w:r>
        <w:rPr>
          <w:rFonts w:ascii="Times New Roman" w:hAnsi="Times New Roman"/>
          <w:b w:val="false"/>
          <w:i w:val="false"/>
          <w:color w:val="000000"/>
          <w:sz w:val="22"/>
        </w:rPr>
        <w:t> </w:t>
      </w:r>
      <w:r>
        <w:rPr>
          <w:rFonts w:ascii="Times New Roman" w:hAnsi="Times New Roman"/>
          <w:b w:val="false"/>
          <w:i w:val="false"/>
          <w:color w:val="000000"/>
          <w:sz w:val="22"/>
        </w:rPr>
        <w:t>means a quality or qualities of the projects to be developed in a district that, when considered in the entirety, will substantially distinguish the district’s projects from other existing or proposed developments in the state. For purposes of this chapter, whether a project is of a unique nature is a subjective and contextual determination that will be made by the board. In determining whether a project is of a unique nature, the board will not necessarily require a project to be entirely without precedent or to be the only one of its kind in the state, but rather, the board will evaluate whether the projects to be undertaken in a district will either (1) permanently transform the aesthetics or infrastructure of a local community for the better, including by preserving important historical structures or neighborhoods, or (2) contribute substantially more to the state’s economy or quality of life than other similar projects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“Vertical improvement”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4">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 For the purposes of this definition, “appurtenant structure” means any building or other fixture on a piece of real estate other than the main building, provided that such a building or fixture is permanent, is wholly or partially above grade, and will be constructed or substantially improved in conjunction with the main building. A structure is appurtenant when the structure is physically connected to a main building such that the connected structures combine to create a single, integrated facility. A structure is not physically connected if the structure has a function or purpose independent of the main building, even if the structures are in close proximity or are incidentally connected by some means such as a common wall, a sidewalk, or recreational trail.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0135D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261—200.2</w:t>
      </w:r>
      <w:r>
        <w:rPr>
          <w:rFonts w:ascii="Times New Roman" w:hAnsi="Times New Roman"/>
          <w:b/>
          <w:i w:val="false"/>
          <w:color w:val="000000"/>
          <w:sz w:val="22"/>
        </w:rPr>
        <w:t xml:space="preserve">(15J) </w:t>
      </w:r>
      <w:r>
        <w:rPr>
          <w:rFonts w:ascii="Times New Roman" w:hAnsi="Times New Roman"/>
          <w:b/>
          <w:i w:val="false"/>
          <w:color w:val="000000"/>
          <w:sz w:val="22"/>
        </w:rPr>
        <w:t xml:space="preserve">Preapplication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authority and the board will utilize a preapplication process to gauge the level of demand for funding under the program, accept initial project plans and requests for funding, make provisional determinations about the amount of maximum benefits, and notify applicants of the board’s provisional funding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200.2(2)</w:t>
      </w:r>
      <w:r>
        <w:rPr>
          <w:rFonts w:ascii="Times New Roman" w:hAnsi="Times New Roman"/>
          <w:b w:val="false"/>
          <w:i w:val="false"/>
          <w:color w:val="000000"/>
          <w:sz w:val="22"/>
        </w:rPr>
        <w:t> </w:t>
      </w:r>
      <w:r>
        <w:rPr>
          <w:rFonts w:ascii="Times New Roman" w:hAnsi="Times New Roman"/>
          <w:b w:val="false"/>
          <w:i/>
          <w:color w:val="000000"/>
          <w:sz w:val="22"/>
        </w:rPr>
        <w:t xml:space="preserve">Preapplication required. </w:t>
      </w:r>
      <w:r>
        <w:rPr>
          <w:rFonts w:ascii="Times New Roman" w:hAnsi="Times New Roman"/>
          <w:b w:val="false"/>
          <w:i w:val="false"/>
          <w:color w:val="000000"/>
          <w:sz w:val="22"/>
        </w:rPr>
        <w:t>The board will only approve a proposed district plan if that plan has been submitted during the annual filing window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200.2(3)</w:t>
      </w:r>
      <w:r>
        <w:rPr>
          <w:rFonts w:ascii="Times New Roman" w:hAnsi="Times New Roman"/>
          <w:b w:val="false"/>
          <w:i w:val="false"/>
          <w:color w:val="000000"/>
          <w:sz w:val="22"/>
        </w:rPr>
        <w:t> </w:t>
      </w:r>
      <w:r>
        <w:rPr>
          <w:rFonts w:ascii="Times New Roman" w:hAnsi="Times New Roman"/>
          <w:b w:val="false"/>
          <w:i/>
          <w:color w:val="000000"/>
          <w:sz w:val="22"/>
        </w:rPr>
        <w:t xml:space="preserve">Annual filing window. </w:t>
      </w:r>
      <w:r>
        <w:rPr>
          <w:rFonts w:ascii="Times New Roman" w:hAnsi="Times New Roman"/>
          <w:b w:val="false"/>
          <w:i w:val="false"/>
          <w:color w:val="000000"/>
          <w:sz w:val="22"/>
        </w:rPr>
        <w:t>Each year that funding is available, the authority will announce an annual filing window to accept preapplications under the program. The purpose of the annual filing window is to enable the competitive scoring of applications and facilitate funding decisions by the board that are within the limitations established for the program by the general assembly. A municipality interested in applying to the program must submit a preapplication during the annual filing window or wait until the next annual filing window.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200.2(4)</w:t>
      </w:r>
      <w:r>
        <w:rPr>
          <w:rFonts w:ascii="Times New Roman" w:hAnsi="Times New Roman"/>
          <w:b w:val="false"/>
          <w:i w:val="false"/>
          <w:color w:val="000000"/>
          <w:sz w:val="22"/>
        </w:rPr>
        <w:t> </w:t>
      </w:r>
      <w:r>
        <w:rPr>
          <w:rFonts w:ascii="Times New Roman" w:hAnsi="Times New Roman"/>
          <w:b w:val="false"/>
          <w:i/>
          <w:color w:val="000000"/>
          <w:sz w:val="22"/>
        </w:rPr>
        <w:t xml:space="preserve">Preapplication submission requirements. </w:t>
      </w:r>
      <w:r>
        <w:rPr>
          <w:rFonts w:ascii="Times New Roman" w:hAnsi="Times New Roman"/>
          <w:b w:val="false"/>
          <w:i w:val="false"/>
          <w:color w:val="000000"/>
          <w:sz w:val="22"/>
        </w:rPr>
        <w:t xml:space="preserve">Each preapplication submission shall demonstrate compliance with the requirements listed in rule </w:t>
      </w:r>
      <w:hyperlink r:id="rId25">
        <w:r>
          <w:rPr>
            <w:rStyle w:val="Hyperlink"/>
            <w:rFonts w:ascii="Times New Roman" w:hAnsi="Times New Roman"/>
            <w:b w:val="false"/>
            <w:i w:val="false"/>
            <w:color w:val="000000"/>
            <w:sz w:val="22"/>
          </w:rPr>
          <w:t>261—200.3</w:t>
        </w:r>
      </w:hyperlink>
      <w:r>
        <w:rPr>
          <w:rFonts w:ascii="Times New Roman" w:hAnsi="Times New Roman"/>
          <w:b w:val="false"/>
          <w:i w:val="false"/>
          <w:color w:val="000000"/>
          <w:sz w:val="22"/>
        </w:rPr>
        <w:t xml:space="preserve">(15J) to the greatest extent possible. While the preapplication process is provisional in nature and is designed to allow applicants to make reasonable changes to the proposed district plan before a final application is considered, the board is more likely to approve funding for proposed districts that meet all requirements of rule </w:t>
      </w:r>
      <w:hyperlink r:id="rId26">
        <w:r>
          <w:rPr>
            <w:rStyle w:val="Hyperlink"/>
            <w:rFonts w:ascii="Times New Roman" w:hAnsi="Times New Roman"/>
            <w:b w:val="false"/>
            <w:i w:val="false"/>
            <w:color w:val="000000"/>
            <w:sz w:val="22"/>
          </w:rPr>
          <w:t>261—200.3</w:t>
        </w:r>
      </w:hyperlink>
      <w:r>
        <w:rPr>
          <w:rFonts w:ascii="Times New Roman" w:hAnsi="Times New Roman"/>
          <w:b w:val="false"/>
          <w:i w:val="false"/>
          <w:color w:val="000000"/>
          <w:sz w:val="22"/>
        </w:rPr>
        <w:t>(15J) during the preapplication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200.2(5)</w:t>
      </w:r>
      <w:r>
        <w:rPr>
          <w:rFonts w:ascii="Times New Roman" w:hAnsi="Times New Roman"/>
          <w:b w:val="false"/>
          <w:i w:val="false"/>
          <w:color w:val="000000"/>
          <w:sz w:val="22"/>
        </w:rPr>
        <w:t> </w:t>
      </w:r>
      <w:r>
        <w:rPr>
          <w:rFonts w:ascii="Times New Roman" w:hAnsi="Times New Roman"/>
          <w:b w:val="false"/>
          <w:i/>
          <w:color w:val="000000"/>
          <w:sz w:val="22"/>
        </w:rPr>
        <w:t xml:space="preserve">Provisional 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with the assistance of the authority, will evaluate the preapplications and assign them a provisional score based on the criteria described in rule </w:t>
      </w:r>
      <w:hyperlink r:id="rId27">
        <w:r>
          <w:rPr>
            <w:rStyle w:val="Hyperlink"/>
            <w:rFonts w:ascii="Times New Roman" w:hAnsi="Times New Roman"/>
            <w:b w:val="false"/>
            <w:i w:val="false"/>
            <w:color w:val="000000"/>
            <w:sz w:val="22"/>
          </w:rPr>
          <w:t>261—200.4</w:t>
        </w:r>
      </w:hyperlink>
      <w:r>
        <w:rPr>
          <w:rFonts w:ascii="Times New Roman" w:hAnsi="Times New Roman"/>
          <w:b w:val="false"/>
          <w:i w:val="false"/>
          <w:color w:val="000000"/>
          <w:sz w:val="22"/>
        </w:rPr>
        <w:t>(15J). Based on the results of the scoring, the board will make provisional funding decisions and notify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funding decision represents an initial judgment by the board about the merits of a proposed district plan and is provided for the convenience of both applicants and the board for the better administration of the program. A provisional funding decision shall not be construed as binding on the board nor will the applicant be required to meet all of the details contained in the preapplication. A provisional funding decision shall not be construed as a final approval by the board. A municipality shall not adopt an ordinance or resolution establishing a district based on a provisional funding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details of a proposed district plan and a final funding decision, including a maximum benefit amount and a commencement date, shall be contingent upon the receipt of a full, final, and complete application and upon final action by the board to ratify, amend, defer, or rescind its provisional funding decision as provided in rule </w:t>
      </w:r>
      <w:hyperlink r:id="rId28">
        <w:r>
          <w:rPr>
            <w:rStyle w:val="Hyperlink"/>
            <w:rFonts w:ascii="Times New Roman" w:hAnsi="Times New Roman"/>
            <w:b w:val="false"/>
            <w:i w:val="false"/>
            <w:color w:val="000000"/>
            <w:sz w:val="22"/>
          </w:rPr>
          <w:t>261—200.5</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deposit moneys into an account until a final application is approved by the board and an ordinance or resolution has been adopted by the municipality.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0135D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261—200.3</w:t>
      </w:r>
      <w:r>
        <w:rPr>
          <w:rFonts w:ascii="Times New Roman" w:hAnsi="Times New Roman"/>
          <w:b/>
          <w:i w:val="false"/>
          <w:color w:val="000000"/>
          <w:sz w:val="22"/>
        </w:rPr>
        <w:t xml:space="preserve">(15J) </w:t>
      </w:r>
      <w:r>
        <w:rPr>
          <w:rFonts w:ascii="Times New Roman" w:hAnsi="Times New Roman"/>
          <w:b/>
          <w:i w:val="false"/>
          <w:color w:val="000000"/>
          <w:sz w:val="22"/>
        </w:rPr>
        <w:t xml:space="preserve">Program eligibility and 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To be eligible for benefits under the program, an applicant shall demonstrate that all requirements in Iowa Code section </w:t>
      </w:r>
      <w:hyperlink r:id="rId29">
        <w:r>
          <w:rPr>
            <w:rStyle w:val="Hyperlink"/>
            <w:rFonts w:ascii="Times New Roman" w:hAnsi="Times New Roman"/>
            <w:b w:val="false"/>
            <w:i w:val="false"/>
            <w:color w:val="000000"/>
            <w:sz w:val="22"/>
          </w:rPr>
          <w:t>15J.4(1)</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that the criterion in Iowa Code section </w:t>
      </w:r>
      <w:hyperlink r:id="rId30">
        <w:r>
          <w:rPr>
            <w:rStyle w:val="Hyperlink"/>
            <w:rFonts w:ascii="Times New Roman" w:hAnsi="Times New Roman"/>
            <w:b w:val="false"/>
            <w:i w:val="false"/>
            <w:color w:val="000000"/>
            <w:sz w:val="22"/>
          </w:rPr>
          <w:t>15J.4(1)</w:t>
        </w:r>
      </w:hyperlink>
      <w:r>
        <w:rPr>
          <w:rFonts w:ascii="Times New Roman" w:hAnsi="Times New Roman"/>
          <w:b w:val="false"/>
          <w:i/>
          <w:color w:val="000000"/>
          <w:sz w:val="22"/>
        </w:rPr>
        <w:t>“a”</w:t>
      </w:r>
      <w:r>
        <w:rPr>
          <w:rFonts w:ascii="Times New Roman" w:hAnsi="Times New Roman"/>
          <w:b w:val="false"/>
          <w:i w:val="false"/>
          <w:color w:val="000000"/>
          <w:sz w:val="22"/>
        </w:rPr>
        <w:t xml:space="preserve"> is met, a municipality should submit information such as an estimate of the expected increase in valuation or other data that lends itself to a quantitative assessment of the extent to which the real property will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that the criterion in Iowa Code section </w:t>
      </w:r>
      <w:hyperlink r:id="rId31">
        <w:r>
          <w:rPr>
            <w:rStyle w:val="Hyperlink"/>
            <w:rFonts w:ascii="Times New Roman" w:hAnsi="Times New Roman"/>
            <w:b w:val="false"/>
            <w:i w:val="false"/>
            <w:color w:val="000000"/>
            <w:sz w:val="22"/>
          </w:rPr>
          <w:t>15J.4(1)</w:t>
        </w:r>
      </w:hyperlink>
      <w:r>
        <w:rPr>
          <w:rFonts w:ascii="Times New Roman" w:hAnsi="Times New Roman"/>
          <w:b w:val="false"/>
          <w:i/>
          <w:color w:val="000000"/>
          <w:sz w:val="22"/>
        </w:rPr>
        <w:t>“b”</w:t>
      </w:r>
      <w:r>
        <w:rPr>
          <w:rFonts w:ascii="Times New Roman" w:hAnsi="Times New Roman"/>
          <w:b w:val="false"/>
          <w:i w:val="false"/>
          <w:color w:val="000000"/>
          <w:sz w:val="22"/>
        </w:rPr>
        <w:t xml:space="preserve"> is met, a municipality should submit maps of the proposed area as well as maps of the existing enterprise zone or urban renewal area. A municipality should also submit copies of the local ordinance or resolution establishing the enterprise zone or the urban renewal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establishing that the criterion in Iowa Code section </w:t>
      </w:r>
      <w:hyperlink r:id="rId32">
        <w:r>
          <w:rPr>
            <w:rStyle w:val="Hyperlink"/>
            <w:rFonts w:ascii="Times New Roman" w:hAnsi="Times New Roman"/>
            <w:b w:val="false"/>
            <w:i w:val="false"/>
            <w:color w:val="000000"/>
            <w:sz w:val="22"/>
          </w:rPr>
          <w:t>15J.4(1)</w:t>
        </w:r>
      </w:hyperlink>
      <w:r>
        <w:rPr>
          <w:rFonts w:ascii="Times New Roman" w:hAnsi="Times New Roman"/>
          <w:b w:val="false"/>
          <w:i/>
          <w:color w:val="000000"/>
          <w:sz w:val="22"/>
        </w:rPr>
        <w:t>“c”</w:t>
      </w:r>
      <w:r>
        <w:rPr>
          <w:rFonts w:ascii="Times New Roman" w:hAnsi="Times New Roman"/>
          <w:b w:val="false"/>
          <w:i w:val="false"/>
          <w:color w:val="000000"/>
          <w:sz w:val="22"/>
        </w:rPr>
        <w:t xml:space="preserve"> is met, “contiguous” means parcels that are physically connected. Parcels connected by streets or other rights-of-way will be considered physically connected for purposes of this rule. In designating an area that includes a right-of-way, an applicant may include an area that is less than the full width of the right-of-way, but the applicant shall not include less than 60 feet of the right-of-way’s width.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w:t>
      </w:r>
      <w:r>
        <w:rPr>
          <w:rFonts w:ascii="Times New Roman" w:hAnsi="Times New Roman"/>
          <w:b w:val="false"/>
          <w:i w:val="false"/>
          <w:color w:val="000000"/>
          <w:sz w:val="22"/>
        </w:rPr>
        <w:t> </w:t>
      </w:r>
      <w:r>
        <w:rPr>
          <w:rFonts w:ascii="Times New Roman" w:hAnsi="Times New Roman"/>
          <w:b w:val="false"/>
          <w:i/>
          <w:color w:val="000000"/>
          <w:sz w:val="22"/>
        </w:rPr>
        <w:t xml:space="preserve">Proposed district plan. </w:t>
      </w:r>
      <w:r>
        <w:rPr>
          <w:rFonts w:ascii="Times New Roman" w:hAnsi="Times New Roman"/>
          <w:b w:val="false"/>
          <w:i w:val="false"/>
          <w:color w:val="000000"/>
          <w:sz w:val="22"/>
        </w:rPr>
        <w:t xml:space="preserve">An applicant must submit a proposed district plan consistent with the requirements of Iowa Code section </w:t>
      </w:r>
      <w:hyperlink r:id="rId33">
        <w:r>
          <w:rPr>
            <w:rStyle w:val="Hyperlink"/>
            <w:rFonts w:ascii="Times New Roman" w:hAnsi="Times New Roman"/>
            <w:b w:val="false"/>
            <w:i w:val="false"/>
            <w:color w:val="000000"/>
            <w:sz w:val="22"/>
          </w:rPr>
          <w:t>15J.4(2)</w:t>
        </w:r>
      </w:hyperlink>
      <w:r>
        <w:rPr>
          <w:rFonts w:ascii="Times New Roman" w:hAnsi="Times New Roman"/>
          <w:b w:val="false"/>
          <w:i w:val="false"/>
          <w:color w:val="000000"/>
          <w:sz w:val="22"/>
        </w:rPr>
        <w:t xml:space="preserve"> and a copy of the resolution approving the proposed district plan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finding required by Iowa Code section </w:t>
      </w:r>
      <w:hyperlink r:id="rId34">
        <w:r>
          <w:rPr>
            <w:rStyle w:val="Hyperlink"/>
            <w:rFonts w:ascii="Times New Roman" w:hAnsi="Times New Roman"/>
            <w:b w:val="false"/>
            <w:i w:val="false"/>
            <w:color w:val="000000"/>
            <w:sz w:val="22"/>
          </w:rPr>
          <w:t>15J.4(2)</w:t>
        </w:r>
      </w:hyperlink>
      <w:r>
        <w:rPr>
          <w:rFonts w:ascii="Times New Roman" w:hAnsi="Times New Roman"/>
          <w:b w:val="false"/>
          <w:i/>
          <w:color w:val="000000"/>
          <w:sz w:val="22"/>
        </w:rPr>
        <w:t>“a”</w:t>
      </w:r>
      <w:r>
        <w:rPr>
          <w:rFonts w:ascii="Times New Roman" w:hAnsi="Times New Roman"/>
          <w:b w:val="false"/>
          <w:i w:val="false"/>
          <w:color w:val="000000"/>
          <w:sz w:val="22"/>
        </w:rPr>
        <w:t xml:space="preserve"> should be supported by the information required under subrule </w:t>
      </w:r>
      <w:hyperlink r:id="rId35">
        <w:r>
          <w:rPr>
            <w:rStyle w:val="Hyperlink"/>
            <w:rFonts w:ascii="Times New Roman" w:hAnsi="Times New Roman"/>
            <w:b w:val="false"/>
            <w:i w:val="false"/>
            <w:color w:val="000000"/>
            <w:sz w:val="22"/>
          </w:rPr>
          <w:t>200.3(1)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at the time an application is submitted, the parcels to be included in the proposed district are not yet acquired or one or more parcels within the district are under consideration for a project, then the names and addresses of the owners of record of all parcels under consideration shall be submitted with the understanding that final board approval shall be contingent upon all parcels being acquired and identified by address prior to final board approval and establishment of the commencement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description required by Iowa Code section </w:t>
      </w:r>
      <w:hyperlink r:id="rId36">
        <w:r>
          <w:rPr>
            <w:rStyle w:val="Hyperlink"/>
            <w:rFonts w:ascii="Times New Roman" w:hAnsi="Times New Roman"/>
            <w:b w:val="false"/>
            <w:i w:val="false"/>
            <w:color w:val="000000"/>
            <w:sz w:val="22"/>
          </w:rPr>
          <w:t>15J.4(2)</w:t>
        </w:r>
      </w:hyperlink>
      <w:r>
        <w:rPr>
          <w:rFonts w:ascii="Times New Roman" w:hAnsi="Times New Roman"/>
          <w:b w:val="false"/>
          <w:i/>
          <w:color w:val="000000"/>
          <w:sz w:val="22"/>
        </w:rPr>
        <w:t>“d”</w:t>
      </w:r>
      <w:r>
        <w:rPr>
          <w:rFonts w:ascii="Times New Roman" w:hAnsi="Times New Roman"/>
          <w:b w:val="false"/>
          <w:i w:val="false"/>
          <w:color w:val="000000"/>
          <w:sz w:val="22"/>
        </w:rPr>
        <w:t xml:space="preserve">(4) should include an explanation of why the unique characteristics of the proposed project cause the project to be of a unique nature as defined in rule </w:t>
      </w:r>
      <w:hyperlink r:id="rId37">
        <w:r>
          <w:rPr>
            <w:rStyle w:val="Hyperlink"/>
            <w:rFonts w:ascii="Times New Roman" w:hAnsi="Times New Roman"/>
            <w:b w:val="false"/>
            <w:i w:val="false"/>
            <w:color w:val="000000"/>
            <w:sz w:val="22"/>
          </w:rPr>
          <w:t>261—200.2</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w:t>
      </w:r>
      <w:r>
        <w:rPr>
          <w:rFonts w:ascii="Times New Roman" w:hAnsi="Times New Roman"/>
          <w:b w:val="false"/>
          <w:i w:val="false"/>
          <w:color w:val="000000"/>
          <w:sz w:val="22"/>
        </w:rPr>
        <w:t> </w:t>
      </w:r>
      <w:r>
        <w:rPr>
          <w:rFonts w:ascii="Times New Roman" w:hAnsi="Times New Roman"/>
          <w:b w:val="false"/>
          <w:i/>
          <w:color w:val="000000"/>
          <w:sz w:val="22"/>
        </w:rPr>
        <w:t xml:space="preserve">Additional conditions. </w:t>
      </w:r>
      <w:r>
        <w:rPr>
          <w:rFonts w:ascii="Times New Roman" w:hAnsi="Times New Roman"/>
          <w:b w:val="false"/>
          <w:i w:val="false"/>
          <w:color w:val="000000"/>
          <w:sz w:val="22"/>
        </w:rPr>
        <w:t xml:space="preserve">A municipality shall demonstrate to the board’s satisfaction that all of the additional conditions in Iowa Code section </w:t>
      </w:r>
      <w:hyperlink r:id="rId38">
        <w:r>
          <w:rPr>
            <w:rStyle w:val="Hyperlink"/>
            <w:rFonts w:ascii="Times New Roman" w:hAnsi="Times New Roman"/>
            <w:b w:val="false"/>
            <w:i w:val="false"/>
            <w:color w:val="000000"/>
            <w:sz w:val="22"/>
          </w:rPr>
          <w:t>15J.4(3)</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met and the following additional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submitted an application under the preapplication process described in rule </w:t>
      </w:r>
      <w:hyperlink r:id="rId39">
        <w:r>
          <w:rPr>
            <w:rStyle w:val="Hyperlink"/>
            <w:rFonts w:ascii="Times New Roman" w:hAnsi="Times New Roman"/>
            <w:b w:val="false"/>
            <w:i w:val="false"/>
            <w:color w:val="000000"/>
            <w:sz w:val="22"/>
          </w:rPr>
          <w:t>261—200.4</w:t>
        </w:r>
      </w:hyperlink>
      <w:r>
        <w:rPr>
          <w:rFonts w:ascii="Times New Roman" w:hAnsi="Times New Roman"/>
          <w:b w:val="false"/>
          <w:i w:val="false"/>
          <w:color w:val="000000"/>
          <w:sz w:val="22"/>
        </w:rPr>
        <w:t>(15J) and, as part of a provisional funding decision by the board, must have been approved for a provisional maximum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district plan must meet a minimum score under the criteria described in rule </w:t>
      </w:r>
      <w:hyperlink r:id="rId40">
        <w:r>
          <w:rPr>
            <w:rStyle w:val="Hyperlink"/>
            <w:rFonts w:ascii="Times New Roman" w:hAnsi="Times New Roman"/>
            <w:b w:val="false"/>
            <w:i w:val="false"/>
            <w:color w:val="000000"/>
            <w:sz w:val="22"/>
          </w:rPr>
          <w:t>261—200.4</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multiple districts within a single municipality are not prohibited under the program, the size of any one district is limited by Iowa Code section </w:t>
      </w:r>
      <w:hyperlink r:id="rId41">
        <w:r>
          <w:rPr>
            <w:rStyle w:val="Hyperlink"/>
            <w:rFonts w:ascii="Times New Roman" w:hAnsi="Times New Roman"/>
            <w:b w:val="false"/>
            <w:i w:val="false"/>
            <w:color w:val="000000"/>
            <w:sz w:val="22"/>
          </w:rPr>
          <w:t>15J.4(1)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overlapping districts are prohibited by Iowa Code section </w:t>
      </w:r>
      <w:hyperlink r:id="rId42">
        <w:r>
          <w:rPr>
            <w:rStyle w:val="Hyperlink"/>
            <w:rFonts w:ascii="Times New Roman" w:hAnsi="Times New Roman"/>
            <w:b w:val="false"/>
            <w:i w:val="false"/>
            <w:color w:val="000000"/>
            <w:sz w:val="22"/>
          </w:rPr>
          <w:t>15J.4(1)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Therefore, the board will consider whether the approval of an additional district is appropriate given the particulars of the proposed additional district and the goals of the program. If a municipality proposes an additional district, the board, at its discretion, may accept the application and score it, or if the board determines that approval of an additional district would not serve the goals of the program, the board may reject the application without scoring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While it is within the discretion of the board to increase the maximum benefit amount of an approved district, the board will carefully scrutinize whether an increase is justified by circumstances such as greater investment or improved projects within the district and whether any change in the maximum benefit amount serves the goals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200.3(4)</w:t>
      </w:r>
      <w:r>
        <w:rPr>
          <w:rFonts w:ascii="Times New Roman" w:hAnsi="Times New Roman"/>
          <w:b w:val="false"/>
          <w:i w:val="false"/>
          <w:color w:val="000000"/>
          <w:sz w:val="22"/>
        </w:rPr>
        <w:t> </w:t>
      </w:r>
      <w:r>
        <w:rPr>
          <w:rFonts w:ascii="Times New Roman" w:hAnsi="Times New Roman"/>
          <w:b w:val="false"/>
          <w:i/>
          <w:color w:val="000000"/>
          <w:sz w:val="22"/>
        </w:rPr>
        <w:t xml:space="preserve">Application materials and submission. </w:t>
      </w:r>
      <w:r>
        <w:rPr>
          <w:rFonts w:ascii="Times New Roman" w:hAnsi="Times New Roman"/>
          <w:b w:val="false"/>
          <w:i w:val="false"/>
          <w:color w:val="000000"/>
          <w:sz w:val="22"/>
        </w:rPr>
        <w:t>A municipality interested in applying for funding under the program shall submit a preapplication and a final application to the board for approval and, when applying, shall provide the information described in this chapter or any other information the board or the authority may reasonably require in order to process the application. Information on submitting an application under the program may be obtained by contacting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0135D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261—200.4</w:t>
      </w:r>
      <w:r>
        <w:rPr>
          <w:rFonts w:ascii="Times New Roman" w:hAnsi="Times New Roman"/>
          <w:b/>
          <w:i w:val="false"/>
          <w:color w:val="000000"/>
          <w:sz w:val="22"/>
        </w:rPr>
        <w:t xml:space="preserve">(15J) </w:t>
      </w:r>
      <w:r>
        <w:rPr>
          <w:rFonts w:ascii="Times New Roman" w:hAnsi="Times New Roman"/>
          <w:b/>
          <w:i w:val="false"/>
          <w:color w:val="000000"/>
          <w:sz w:val="22"/>
        </w:rPr>
        <w:t xml:space="preserve">Application scoring and determination of benefits. </w:t>
      </w:r>
      <w:r>
        <w:rPr>
          <w:rFonts w:ascii="Times New Roman" w:hAnsi="Times New Roman"/>
          <w:b w:val="false"/>
          <w:i w:val="false"/>
          <w:color w:val="000000"/>
          <w:sz w:val="22"/>
        </w:rPr>
        <w:t>The board will evaluate and score the proposed district plan submitted with each complete and eligible application according to the criteria and process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w:t>
      </w:r>
      <w:r>
        <w:rPr>
          <w:rFonts w:ascii="Times New Roman" w:hAnsi="Times New Roman"/>
          <w:b w:val="false"/>
          <w:i w:val="false"/>
          <w:color w:val="000000"/>
          <w:sz w:val="22"/>
        </w:rPr>
        <w:t> </w:t>
      </w:r>
      <w:r>
        <w:rPr>
          <w:rFonts w:ascii="Times New Roman" w:hAnsi="Times New Roman"/>
          <w:b w:val="false"/>
          <w:i/>
          <w:color w:val="000000"/>
          <w:sz w:val="22"/>
        </w:rPr>
        <w:t xml:space="preserve">Scoring criteria and plan evaluation. </w:t>
      </w:r>
      <w:r>
        <w:rPr>
          <w:rFonts w:ascii="Times New Roman" w:hAnsi="Times New Roman"/>
          <w:b w:val="false"/>
          <w:i w:val="false"/>
          <w:color w:val="000000"/>
          <w:sz w:val="22"/>
        </w:rPr>
        <w:t>Each proposed district plan will be given a numerical score between 0 and 100. The higher the numerical score, the more likely the proposed district will be approved for designation and funding under the program. The scoring process will necessarily involve a subjective assessment of the quality of each proposed district plan as well as a consideration of how each proposed district plan compares to the plans proposed by other applicants. The criteria used to score each application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Uniqueness. The program requires that the projects proposed to be undertaken must be of a unique nature. Therefore, the proposed district plan will be evaluated on this criterion in order to quantify the extent to which the projects in the proposed district plan are of a unique nature. The more unique the projects are, the more points will be received under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Economic impact. The program requires that the projects proposed to be undertaken must have a substantial beneficial impact on the economy of the state and the economy of the municipality. Therefore, the proposed district plan will be evaluated on this criterion in order to quantify the extent to which the projects in the proposed district plan will benefit the economy. The greater the economic impact of the proposed district plan, the more points will be received under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Project feasibility. The program requires that funding sources for projects must be feasible. Therefore, the proposed district plan will be evaluated on this criterion in order to quantify the extent to which the funding sources of the proposed projects are feasible. The more feasible the funding sources for the proposed projects are, the more points will be received under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Capital investment. The program requires that at least one project with a capital investment of $10 million or more be proposed. To the extent that the proposed district plan exceeds this minimum level of capital investment, more points will be received under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Funding leverage. The program limits the amount of new tax revenues that can be received to 35 percent of the total cost of all proposed projects in the proposed district plan. To the extent that a proposed district plan includes a financing plan in which the percentage of new tax revenues to be received is less than 35 percent of the total cost, more points will be received under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Nonretail focus. The program limits the amount of proposed capital investment in the district related to retail businesses to 50 percent of the total capital investment for all proposed projects in the proposed district. To the extent that a proposed district plan includes projects that provide cultural amenities, tourist attractions and accommodations, infrastructure, or quality of life improvements, more points will be received under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Additional factors. The program allows the board to establish additional criteria for the program. Therefore, in addition to the other criteria listed in this subrule, the board will consider the following additional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Readiness for development. The closer a municipality is to beginning development on a proposed district plan, the more points may be received under the additional factors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Geographic diversity. To the extent that a proposed district is located in a region of the state not already funded under the program, more points may be received under the additional factors criterion. A proposed district plan that would create an additional district within a municipality or a request to increase the maximum benefit amount of an already approved district will not be viewed as enhancing geographic diversity and may receive fewer points under the additional factors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Funding need. To the extent that a funding gap exists in the proposed district plan’s financing, more points may be received under the additional factors criterion.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w:t>
      </w:r>
      <w:r>
        <w:rPr>
          <w:rFonts w:ascii="Times New Roman" w:hAnsi="Times New Roman"/>
          <w:b w:val="false"/>
          <w:i w:val="false"/>
          <w:color w:val="000000"/>
          <w:sz w:val="22"/>
        </w:rPr>
        <w:t> </w:t>
      </w:r>
      <w:r>
        <w:rPr>
          <w:rFonts w:ascii="Times New Roman" w:hAnsi="Times New Roman"/>
          <w:b w:val="false"/>
          <w:i/>
          <w:color w:val="000000"/>
          <w:sz w:val="22"/>
        </w:rPr>
        <w:t xml:space="preserve">Scoring process and funding recommendations.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Proposed district plans will be scored by an evaluation committee consisting of members appointed by the director of the authority. Members of the committee will include authority staff and not more than five members of the board. Each member of the evaluation committee will judge the proposed district plan according to the scoring criteria, and then the scores of all members of the committee will be averaged together to reflect one numerical score between 0 and 100. The evaluation committee will not make a funding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all applications are scored, a copy of the proposed district plan and the results of the scoring will be referred to the due diligence committee, which will consider the quality of the proposed district plans and make funding recommendations to the board. The due diligence committee will take into account the requested funding levels but will also attempt to establish maximum benefit amounts that seem most appropriate to both the quality of the proposed district plans and the total demand for program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scoring results will not be negotiated and, while both the board and the due diligence committee will consider the scoring results of the evaluation committee, those results are not binding on either the due diligence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200.4(3)</w:t>
      </w:r>
      <w:r>
        <w:rPr>
          <w:rFonts w:ascii="Times New Roman" w:hAnsi="Times New Roman"/>
          <w:b w:val="false"/>
          <w:i w:val="false"/>
          <w:color w:val="000000"/>
          <w:sz w:val="22"/>
        </w:rPr>
        <w:t> </w:t>
      </w:r>
      <w:r>
        <w:rPr>
          <w:rFonts w:ascii="Times New Roman" w:hAnsi="Times New Roman"/>
          <w:b w:val="false"/>
          <w:i/>
          <w:color w:val="000000"/>
          <w:sz w:val="22"/>
        </w:rPr>
        <w:t xml:space="preserve">Minimum score required. </w:t>
      </w:r>
      <w:r>
        <w:rPr>
          <w:rFonts w:ascii="Times New Roman" w:hAnsi="Times New Roman"/>
          <w:b w:val="false"/>
          <w:i w:val="false"/>
          <w:color w:val="000000"/>
          <w:sz w:val="22"/>
        </w:rPr>
        <w:t xml:space="preserve">To receive funding under the program, a proposed district plan must receive an average score of 70 or more points under the criteria listed in subrule </w:t>
      </w:r>
      <w:hyperlink r:id="rId43">
        <w:r>
          <w:rPr>
            <w:rStyle w:val="Hyperlink"/>
            <w:rFonts w:ascii="Times New Roman" w:hAnsi="Times New Roman"/>
            <w:b w:val="false"/>
            <w:i w:val="false"/>
            <w:color w:val="000000"/>
            <w:sz w:val="22"/>
          </w:rPr>
          <w:t>200.4(1)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200.4(4)</w:t>
      </w:r>
      <w:r>
        <w:rPr>
          <w:rFonts w:ascii="Times New Roman" w:hAnsi="Times New Roman"/>
          <w:b w:val="false"/>
          <w:i w:val="false"/>
          <w:color w:val="000000"/>
          <w:sz w:val="22"/>
        </w:rPr>
        <w:t> </w:t>
      </w:r>
      <w:r>
        <w:rPr>
          <w:rFonts w:ascii="Times New Roman" w:hAnsi="Times New Roman"/>
          <w:b w:val="false"/>
          <w:i/>
          <w:color w:val="000000"/>
          <w:sz w:val="22"/>
        </w:rPr>
        <w:t xml:space="preserve">Funding not guaranteed. </w:t>
      </w:r>
      <w:r>
        <w:rPr>
          <w:rFonts w:ascii="Times New Roman" w:hAnsi="Times New Roman"/>
          <w:b w:val="false"/>
          <w:i w:val="false"/>
          <w:color w:val="000000"/>
          <w:sz w:val="22"/>
        </w:rPr>
        <w:t>The program is subject to a total aggregate limit on the amount of new tax revenues that may be approved. Therefore, a proposed district plan that meets the required minimum score is not guaranteed funding if the board’s funding decisions for other, higher scoring proposed district plans cause the program’s total aggregate limit to be reached.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w:t>
      </w:r>
      <w:r>
        <w:rPr>
          <w:rFonts w:ascii="Times New Roman" w:hAnsi="Times New Roman"/>
          <w:b w:val="false"/>
          <w:i w:val="false"/>
          <w:color w:val="000000"/>
          <w:sz w:val="22"/>
        </w:rPr>
        <w:t> </w:t>
      </w:r>
      <w:r>
        <w:rPr>
          <w:rFonts w:ascii="Times New Roman" w:hAnsi="Times New Roman"/>
          <w:b w:val="false"/>
          <w:i/>
          <w:color w:val="000000"/>
          <w:sz w:val="22"/>
        </w:rPr>
        <w:t xml:space="preserve">Final action taken by board. </w:t>
      </w:r>
      <w:r>
        <w:rPr>
          <w:rFonts w:ascii="Times New Roman" w:hAnsi="Times New Roman"/>
          <w:b w:val="false"/>
          <w:i w:val="false"/>
          <w:color w:val="000000"/>
          <w:sz w:val="22"/>
        </w:rPr>
        <w:t>The final decision on whether to approve the designation of a proposed reinvestment district and the determination of the amount of maximum benefit to award an applicant rest entirely with the board. The recommendations of the evaluation committee and the due diligence committee with respect to the proposed district plans are of an advisory nature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scoring results. </w:t>
      </w:r>
      <w:r>
        <w:rPr>
          <w:rFonts w:ascii="Times New Roman" w:hAnsi="Times New Roman"/>
          <w:b w:val="false"/>
          <w:i w:val="false"/>
          <w:color w:val="000000"/>
          <w:sz w:val="22"/>
        </w:rPr>
        <w:t>The board and the authority will keep records of the scoring process and make those records available to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200.4(7)</w:t>
      </w:r>
      <w:r>
        <w:rPr>
          <w:rFonts w:ascii="Times New Roman" w:hAnsi="Times New Roman"/>
          <w:b w:val="false"/>
          <w:i w:val="false"/>
          <w:color w:val="000000"/>
          <w:sz w:val="22"/>
        </w:rPr>
        <w:t> </w:t>
      </w:r>
      <w:r>
        <w:rPr>
          <w:rFonts w:ascii="Times New Roman" w:hAnsi="Times New Roman"/>
          <w:b w:val="false"/>
          <w:i/>
          <w:color w:val="000000"/>
          <w:sz w:val="22"/>
        </w:rPr>
        <w:t xml:space="preserve">Denial of plans and resubmission. </w:t>
      </w:r>
      <w:r>
        <w:rPr>
          <w:rFonts w:ascii="Times New Roman" w:hAnsi="Times New Roman"/>
          <w:b w:val="false"/>
          <w:i w:val="false"/>
          <w:color w:val="000000"/>
          <w:sz w:val="22"/>
        </w:rPr>
        <w:t>Reasons for denial of district plans may include a failure to meet filing deadlines, a failure to meet the basic requirements for eligibility, a failure to meet the required minimum score, or a lack of available funding. A municipality whose application is denied may resubmit the application at the next annual filing window, provided there is funding available, but a resubmission must be rescored with all other applicants that apply during that filing window.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200.4(8)</w:t>
      </w:r>
      <w:r>
        <w:rPr>
          <w:rFonts w:ascii="Times New Roman" w:hAnsi="Times New Roman"/>
          <w:b w:val="false"/>
          <w:i w:val="false"/>
          <w:color w:val="000000"/>
          <w:sz w:val="22"/>
        </w:rPr>
        <w:t> </w:t>
      </w:r>
      <w:r>
        <w:rPr>
          <w:rFonts w:ascii="Times New Roman" w:hAnsi="Times New Roman"/>
          <w:b w:val="false"/>
          <w:i/>
          <w:color w:val="000000"/>
          <w:sz w:val="22"/>
        </w:rPr>
        <w:t xml:space="preserve">Provisional nature of preapplication process. </w:t>
      </w:r>
      <w:r>
        <w:rPr>
          <w:rFonts w:ascii="Times New Roman" w:hAnsi="Times New Roman"/>
          <w:b w:val="false"/>
          <w:i w:val="false"/>
          <w:color w:val="000000"/>
          <w:sz w:val="22"/>
        </w:rPr>
        <w:t xml:space="preserve">The preapplication process described in rule </w:t>
      </w:r>
      <w:hyperlink r:id="rId44">
        <w:r>
          <w:rPr>
            <w:rStyle w:val="Hyperlink"/>
            <w:rFonts w:ascii="Times New Roman" w:hAnsi="Times New Roman"/>
            <w:b w:val="false"/>
            <w:i w:val="false"/>
            <w:color w:val="000000"/>
            <w:sz w:val="22"/>
          </w:rPr>
          <w:t>261—200.2</w:t>
        </w:r>
      </w:hyperlink>
      <w:r>
        <w:rPr>
          <w:rFonts w:ascii="Times New Roman" w:hAnsi="Times New Roman"/>
          <w:b w:val="false"/>
          <w:i w:val="false"/>
          <w:color w:val="000000"/>
          <w:sz w:val="22"/>
        </w:rPr>
        <w:t xml:space="preserve">(15J) will result in provisional scores and provisional funding decisions for applicants. However, these provisional scores and funding decisions are subject to change pending the final approval process described in rule </w:t>
      </w:r>
      <w:hyperlink r:id="rId45">
        <w:r>
          <w:rPr>
            <w:rStyle w:val="Hyperlink"/>
            <w:rFonts w:ascii="Times New Roman" w:hAnsi="Times New Roman"/>
            <w:b w:val="false"/>
            <w:i w:val="false"/>
            <w:color w:val="000000"/>
            <w:sz w:val="22"/>
          </w:rPr>
          <w:t>261—200.5</w:t>
        </w:r>
      </w:hyperlink>
      <w:r>
        <w:rPr>
          <w:rFonts w:ascii="Times New Roman" w:hAnsi="Times New Roman"/>
          <w:b w:val="false"/>
          <w:i w:val="false"/>
          <w:color w:val="000000"/>
          <w:sz w:val="22"/>
        </w:rPr>
        <w:t>(15J).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0135D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261—200.5</w:t>
      </w:r>
      <w:r>
        <w:rPr>
          <w:rFonts w:ascii="Times New Roman" w:hAnsi="Times New Roman"/>
          <w:b/>
          <w:i w:val="false"/>
          <w:color w:val="000000"/>
          <w:sz w:val="22"/>
        </w:rPr>
        <w:t xml:space="preserve">(15J) </w:t>
      </w:r>
      <w:r>
        <w:rPr>
          <w:rFonts w:ascii="Times New Roman" w:hAnsi="Times New Roman"/>
          <w:b/>
          <w:i w:val="false"/>
          <w:color w:val="000000"/>
          <w:sz w:val="22"/>
        </w:rPr>
        <w:t xml:space="preserve">Final application and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200.5(1)</w:t>
      </w:r>
      <w:r>
        <w:rPr>
          <w:rFonts w:ascii="Times New Roman" w:hAnsi="Times New Roman"/>
          <w:b w:val="false"/>
          <w:i w:val="false"/>
          <w:color w:val="000000"/>
          <w:sz w:val="22"/>
        </w:rPr>
        <w:t> </w:t>
      </w:r>
      <w:r>
        <w:rPr>
          <w:rFonts w:ascii="Times New Roman" w:hAnsi="Times New Roman"/>
          <w:b w:val="false"/>
          <w:i/>
          <w:color w:val="000000"/>
          <w:sz w:val="22"/>
        </w:rPr>
        <w:t xml:space="preserve">Final application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that receives a provisional funding decision must submit a final application to the board within one year of the submission of the preapplication.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final application shall meet all the requirements described in Iowa Code section </w:t>
      </w:r>
      <w:hyperlink r:id="rId46">
        <w:r>
          <w:rPr>
            <w:rStyle w:val="Hyperlink"/>
            <w:rFonts w:ascii="Times New Roman" w:hAnsi="Times New Roman"/>
            <w:b w:val="false"/>
            <w:i w:val="false"/>
            <w:color w:val="000000"/>
            <w:sz w:val="22"/>
          </w:rPr>
          <w:t>15J.4</w:t>
        </w:r>
      </w:hyperlink>
      <w:r>
        <w:rPr>
          <w:rFonts w:ascii="Times New Roman" w:hAnsi="Times New Roman"/>
          <w:b w:val="false"/>
          <w:i w:val="false"/>
          <w:color w:val="000000"/>
          <w:sz w:val="22"/>
        </w:rPr>
        <w:t xml:space="preserve"> and rule </w:t>
      </w:r>
      <w:hyperlink r:id="rId47">
        <w:r>
          <w:rPr>
            <w:rStyle w:val="Hyperlink"/>
            <w:rFonts w:ascii="Times New Roman" w:hAnsi="Times New Roman"/>
            <w:b w:val="false"/>
            <w:i w:val="false"/>
            <w:color w:val="000000"/>
            <w:sz w:val="22"/>
          </w:rPr>
          <w:t>261—200.3</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200.5(2)</w:t>
      </w:r>
      <w:r>
        <w:rPr>
          <w:rFonts w:ascii="Times New Roman" w:hAnsi="Times New Roman"/>
          <w:b w:val="false"/>
          <w:i w:val="false"/>
          <w:color w:val="000000"/>
          <w:sz w:val="22"/>
        </w:rPr>
        <w:t> </w:t>
      </w:r>
      <w:r>
        <w:rPr>
          <w:rFonts w:ascii="Times New Roman" w:hAnsi="Times New Roman"/>
          <w:b w:val="false"/>
          <w:i/>
          <w:color w:val="000000"/>
          <w:sz w:val="22"/>
        </w:rPr>
        <w:t xml:space="preserve">Amendments to preapplications and rescoring of plans. </w:t>
      </w:r>
      <w:r>
        <w:rPr>
          <w:rFonts w:ascii="Times New Roman" w:hAnsi="Times New Roman"/>
          <w:b w:val="false"/>
          <w:i w:val="false"/>
          <w:color w:val="000000"/>
          <w:sz w:val="22"/>
        </w:rPr>
        <w:t>An applicant may amend any part of the preapplication when submitting the final application and must amend the application if any part of the proposed district plan will be materially different from the plan that was proposed during the preapplication process. If the board determines that a final application is substantially different from the related preapplication, then the board may rescore the application and reevaluate the provisional funding decision prior to taking final action. If the board elects to rescore and reevaluate an application, the application will be rescored and reevaluated in the same manner and according to the same criteria used initially.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w:t>
      </w:r>
      <w:r>
        <w:rPr>
          <w:rFonts w:ascii="Times New Roman" w:hAnsi="Times New Roman"/>
          <w:b w:val="false"/>
          <w:i w:val="false"/>
          <w:color w:val="000000"/>
          <w:sz w:val="22"/>
        </w:rPr>
        <w:t> </w:t>
      </w:r>
      <w:r>
        <w:rPr>
          <w:rFonts w:ascii="Times New Roman" w:hAnsi="Times New Roman"/>
          <w:b w:val="false"/>
          <w:i/>
          <w:color w:val="000000"/>
          <w:sz w:val="22"/>
        </w:rPr>
        <w:t xml:space="preserve">Final funding decision and establishment of commencement date. </w:t>
      </w:r>
      <w:r>
        <w:rPr>
          <w:rFonts w:ascii="Times New Roman" w:hAnsi="Times New Roman"/>
          <w:b w:val="false"/>
          <w:i w:val="false"/>
          <w:color w:val="000000"/>
          <w:sz w:val="22"/>
        </w:rPr>
        <w:t xml:space="preserve">After submission of all information required for the final application, the board will make a final funding decision, establish a final maximum benefit amount, and establish a commencement date for the district as described in Iowa Code section </w:t>
      </w:r>
      <w:hyperlink r:id="rId48">
        <w:r>
          <w:rPr>
            <w:rStyle w:val="Hyperlink"/>
            <w:rFonts w:ascii="Times New Roman" w:hAnsi="Times New Roman"/>
            <w:b w:val="false"/>
            <w:i w:val="false"/>
            <w:color w:val="000000"/>
            <w:sz w:val="22"/>
          </w:rPr>
          <w:t>15J.4(3)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w:t>
      </w:r>
      <w:r>
        <w:rPr>
          <w:rFonts w:ascii="Times New Roman" w:hAnsi="Times New Roman"/>
          <w:b w:val="false"/>
          <w:i w:val="false"/>
          <w:color w:val="000000"/>
          <w:sz w:val="22"/>
        </w:rPr>
        <w:t> </w:t>
      </w:r>
      <w:r>
        <w:rPr>
          <w:rFonts w:ascii="Times New Roman" w:hAnsi="Times New Roman"/>
          <w:b w:val="false"/>
          <w:i/>
          <w:color w:val="000000"/>
          <w:sz w:val="22"/>
        </w:rPr>
        <w:t xml:space="preserve">Provisional funding decisions not determinative of final funding decision. </w:t>
      </w:r>
      <w:r>
        <w:rPr>
          <w:rFonts w:ascii="Times New Roman" w:hAnsi="Times New Roman"/>
          <w:b w:val="false"/>
          <w:i w:val="false"/>
          <w:color w:val="000000"/>
          <w:sz w:val="22"/>
        </w:rPr>
        <w:t>The board’s final funding decision may be different from its provisional funding decision. The board may ratify, amend, defer, or rescind the provisional funding decision. If the board’s final funding decision causes additional funding to become available, the board may amend a funding decision for another proposed district plan made during the same annual filing window or may reserve the additional funding capacity for the next annual filing window.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0135D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261—200.6</w:t>
      </w:r>
      <w:r>
        <w:rPr>
          <w:rFonts w:ascii="Times New Roman" w:hAnsi="Times New Roman"/>
          <w:b/>
          <w:i w:val="false"/>
          <w:color w:val="000000"/>
          <w:sz w:val="22"/>
        </w:rPr>
        <w:t xml:space="preserve">(15J) </w:t>
      </w:r>
      <w:r>
        <w:rPr>
          <w:rFonts w:ascii="Times New Roman" w:hAnsi="Times New Roman"/>
          <w:b/>
          <w:i w:val="false"/>
          <w:color w:val="000000"/>
          <w:sz w:val="22"/>
        </w:rPr>
        <w:t xml:space="preserve">Adoption of ordinance and use of deposits.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200.6(1)</w:t>
      </w:r>
      <w:r>
        <w:rPr>
          <w:rFonts w:ascii="Times New Roman" w:hAnsi="Times New Roman"/>
          <w:b w:val="false"/>
          <w:i w:val="false"/>
          <w:color w:val="000000"/>
          <w:sz w:val="22"/>
        </w:rPr>
        <w:t> </w:t>
      </w:r>
      <w:r>
        <w:rPr>
          <w:rFonts w:ascii="Times New Roman" w:hAnsi="Times New Roman"/>
          <w:b w:val="false"/>
          <w:i/>
          <w:color w:val="000000"/>
          <w:sz w:val="22"/>
        </w:rPr>
        <w:t xml:space="preserve">Ordinance and notice to department. </w:t>
      </w:r>
      <w:r>
        <w:rPr>
          <w:rFonts w:ascii="Times New Roman" w:hAnsi="Times New Roman"/>
          <w:b w:val="false"/>
          <w:i w:val="false"/>
          <w:color w:val="000000"/>
          <w:sz w:val="22"/>
        </w:rPr>
        <w:t xml:space="preserve">Upon receiving approval by the board of the final application pursuant to rule </w:t>
      </w:r>
      <w:hyperlink r:id="rId49">
        <w:r>
          <w:rPr>
            <w:rStyle w:val="Hyperlink"/>
            <w:rFonts w:ascii="Times New Roman" w:hAnsi="Times New Roman"/>
            <w:b w:val="false"/>
            <w:i w:val="false"/>
            <w:color w:val="000000"/>
            <w:sz w:val="22"/>
          </w:rPr>
          <w:t>261—200.5</w:t>
        </w:r>
      </w:hyperlink>
      <w:r>
        <w:rPr>
          <w:rFonts w:ascii="Times New Roman" w:hAnsi="Times New Roman"/>
          <w:b w:val="false"/>
          <w:i w:val="false"/>
          <w:color w:val="000000"/>
          <w:sz w:val="22"/>
        </w:rPr>
        <w:t xml:space="preserve">(15J), the municipality shall adopt an ordinance or, in the case of a joint board, a resolution establishing the district consistent with Iowa Code section </w:t>
      </w:r>
      <w:hyperlink r:id="rId50">
        <w:r>
          <w:rPr>
            <w:rStyle w:val="Hyperlink"/>
            <w:rFonts w:ascii="Times New Roman" w:hAnsi="Times New Roman"/>
            <w:b w:val="false"/>
            <w:i w:val="false"/>
            <w:color w:val="000000"/>
            <w:sz w:val="22"/>
          </w:rPr>
          <w:t>15J.4(4)</w:t>
        </w:r>
      </w:hyperlink>
      <w:r>
        <w:rPr>
          <w:rFonts w:ascii="Times New Roman" w:hAnsi="Times New Roman"/>
          <w:b w:val="false"/>
          <w:i/>
          <w:color w:val="000000"/>
          <w:sz w:val="22"/>
        </w:rPr>
        <w:t>“c.”</w:t>
      </w:r>
      <w:r>
        <w:rPr>
          <w:rFonts w:ascii="Times New Roman" w:hAnsi="Times New Roman"/>
          <w:b w:val="false"/>
          <w:i w:val="false"/>
          <w:color w:val="000000"/>
          <w:sz w:val="22"/>
        </w:rPr>
        <w:t xml:space="preserve"> Notice to the director of revenue shall be provided consistent with Iowa Code section </w:t>
      </w:r>
      <w:hyperlink r:id="rId51">
        <w:r>
          <w:rPr>
            <w:rStyle w:val="Hyperlink"/>
            <w:rFonts w:ascii="Times New Roman" w:hAnsi="Times New Roman"/>
            <w:b w:val="false"/>
            <w:i w:val="false"/>
            <w:color w:val="000000"/>
            <w:sz w:val="22"/>
          </w:rPr>
          <w:t>15J.4(4)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200.6(2)</w:t>
      </w:r>
      <w:r>
        <w:rPr>
          <w:rFonts w:ascii="Times New Roman" w:hAnsi="Times New Roman"/>
          <w:b w:val="false"/>
          <w:i w:val="false"/>
          <w:color w:val="000000"/>
          <w:sz w:val="22"/>
        </w:rPr>
        <w:t> </w:t>
      </w:r>
      <w:r>
        <w:rPr>
          <w:rFonts w:ascii="Times New Roman" w:hAnsi="Times New Roman"/>
          <w:b w:val="false"/>
          <w:i/>
          <w:color w:val="000000"/>
          <w:sz w:val="22"/>
        </w:rPr>
        <w:t xml:space="preserve">Use of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determining eligible uses of moneys deposited in an account pursuant to Iowa Code section </w:t>
      </w:r>
      <w:hyperlink r:id="rId52">
        <w:r>
          <w:rPr>
            <w:rStyle w:val="Hyperlink"/>
            <w:rFonts w:ascii="Times New Roman" w:hAnsi="Times New Roman"/>
            <w:b w:val="false"/>
            <w:i w:val="false"/>
            <w:color w:val="000000"/>
            <w:sz w:val="22"/>
          </w:rPr>
          <w:t>15J.4(4)</w:t>
        </w:r>
      </w:hyperlink>
      <w:r>
        <w:rPr>
          <w:rFonts w:ascii="Times New Roman" w:hAnsi="Times New Roman"/>
          <w:b w:val="false"/>
          <w:i/>
          <w:color w:val="000000"/>
          <w:sz w:val="22"/>
        </w:rPr>
        <w:t>“d,”</w:t>
      </w:r>
      <w:r>
        <w:rPr>
          <w:rFonts w:ascii="Times New Roman" w:hAnsi="Times New Roman"/>
          <w:b w:val="false"/>
          <w:i w:val="false"/>
          <w:color w:val="000000"/>
          <w:sz w:val="22"/>
        </w:rPr>
        <w:t xml:space="preserve"> “development” means all costs reasonably related to a project described in a final application approved by the board. Development costs may include project planning, professional services, land acquisition, construction, maintenance, and operational expenses. A municipality shall enter into development agreements for the expenditure of program funds and submit copies of such agreements to the authority within 30 days of execution.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Moneys deposited in an account shall only be used to fund projects approved by the board as part of a proposed district plan. Moneys deposited in an account may be used for projects that do not generate new tax revenues, provided such projects are part of an approved plan. A municipality shall maintain records documenting the use of deposits under the program and make them available to the board or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Moneys from new tax revenues collected within a district and expended by a municipality under the program are subject to audit by the department or the auditor of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0135D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261—200.7</w:t>
      </w:r>
      <w:r>
        <w:rPr>
          <w:rFonts w:ascii="Times New Roman" w:hAnsi="Times New Roman"/>
          <w:b/>
          <w:i w:val="false"/>
          <w:color w:val="000000"/>
          <w:sz w:val="22"/>
        </w:rPr>
        <w:t xml:space="preserve">(15J) </w:t>
      </w:r>
      <w:r>
        <w:rPr>
          <w:rFonts w:ascii="Times New Roman" w:hAnsi="Times New Roman"/>
          <w:b/>
          <w:i w:val="false"/>
          <w:color w:val="000000"/>
          <w:sz w:val="22"/>
        </w:rPr>
        <w:t xml:space="preserve">Plan amendments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w:t>
      </w:r>
      <w:r>
        <w:rPr>
          <w:rFonts w:ascii="Times New Roman" w:hAnsi="Times New Roman"/>
          <w:b w:val="false"/>
          <w:i w:val="false"/>
          <w:color w:val="000000"/>
          <w:sz w:val="22"/>
        </w:rPr>
        <w:t> </w:t>
      </w:r>
      <w:r>
        <w:rPr>
          <w:rFonts w:ascii="Times New Roman" w:hAnsi="Times New Roman"/>
          <w:b w:val="false"/>
          <w:i/>
          <w:color w:val="000000"/>
          <w:sz w:val="22"/>
        </w:rPr>
        <w:t xml:space="preserve">Plan 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for amendments shall include updated or amended feasibility and economic impact studies as determined necessary by the authority. A plan amendment request that does not increase the maximum benefit amount may be requested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to extend a district’s established commencement date will be rejected.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final approval and establishment of the district, a municipality is unable to carry out development of all the projects proposed to be undertaken in a district, the municipality shall seek a modification to the plan. If a requested plan amendment would reduce capital investment in a district or remove one or more of the projects originally approved for the district, the board in its discretion may reduce, rescind, or otherwise modify the maximum benefit amount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 xml:space="preserve">Following establishment of a district, the municipality shall submit the reports required by Iowa Code section </w:t>
      </w:r>
      <w:hyperlink r:id="rId53">
        <w:r>
          <w:rPr>
            <w:rStyle w:val="Hyperlink"/>
            <w:rFonts w:ascii="Times New Roman" w:hAnsi="Times New Roman"/>
            <w:b w:val="false"/>
            <w:i w:val="false"/>
            <w:color w:val="000000"/>
            <w:sz w:val="22"/>
          </w:rPr>
          <w:t>15J.4(6)</w:t>
        </w:r>
      </w:hyperlink>
      <w:r>
        <w:rPr>
          <w:rFonts w:ascii="Times New Roman" w:hAnsi="Times New Roman"/>
          <w:b w:val="false"/>
          <w:i w:val="false"/>
          <w:color w:val="000000"/>
          <w:sz w:val="22"/>
        </w:rPr>
        <w:t xml:space="preserve">. Reports will be posted on the authority’s website in accordance with Iowa Code section </w:t>
      </w:r>
      <w:hyperlink r:id="rId54">
        <w:r>
          <w:rPr>
            <w:rStyle w:val="Hyperlink"/>
            <w:rFonts w:ascii="Times New Roman" w:hAnsi="Times New Roman"/>
            <w:b w:val="false"/>
            <w:i w:val="false"/>
            <w:color w:val="000000"/>
            <w:sz w:val="22"/>
          </w:rPr>
          <w:t>15J.4(7)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0135D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261—200.8</w:t>
      </w:r>
      <w:r>
        <w:rPr>
          <w:rFonts w:ascii="Times New Roman" w:hAnsi="Times New Roman"/>
          <w:b/>
          <w:i w:val="false"/>
          <w:color w:val="000000"/>
          <w:sz w:val="22"/>
        </w:rPr>
        <w:t xml:space="preserve">(15J) </w:t>
      </w:r>
      <w:r>
        <w:rPr>
          <w:rFonts w:ascii="Times New Roman" w:hAnsi="Times New Roman"/>
          <w:b/>
          <w:i w:val="false"/>
          <w:color w:val="000000"/>
          <w:sz w:val="22"/>
        </w:rPr>
        <w:t xml:space="preserve">Cessation of deposits, district dissolution, and requests for extension.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w:t>
      </w:r>
      <w:r>
        <w:rPr>
          <w:rFonts w:ascii="Times New Roman" w:hAnsi="Times New Roman"/>
          <w:b w:val="false"/>
          <w:i w:val="false"/>
          <w:color w:val="000000"/>
          <w:sz w:val="22"/>
        </w:rPr>
        <w:t> </w:t>
      </w:r>
      <w:r>
        <w:rPr>
          <w:rFonts w:ascii="Times New Roman" w:hAnsi="Times New Roman"/>
          <w:b w:val="false"/>
          <w:i/>
          <w:color w:val="000000"/>
          <w:sz w:val="22"/>
        </w:rPr>
        <w:t xml:space="preserve">Cessation of deposits. </w:t>
      </w:r>
      <w:r>
        <w:rPr>
          <w:rFonts w:ascii="Times New Roman" w:hAnsi="Times New Roman"/>
          <w:b w:val="false"/>
          <w:i w:val="false"/>
          <w:color w:val="000000"/>
          <w:sz w:val="22"/>
        </w:rPr>
        <w:t xml:space="preserve">Deposits to the district’s account shall cease in accordance with Iowa Code section </w:t>
      </w:r>
      <w:hyperlink r:id="rId55">
        <w:r>
          <w:rPr>
            <w:rStyle w:val="Hyperlink"/>
            <w:rFonts w:ascii="Times New Roman" w:hAnsi="Times New Roman"/>
            <w:b w:val="false"/>
            <w:i w:val="false"/>
            <w:color w:val="000000"/>
            <w:sz w:val="22"/>
          </w:rPr>
          <w:t>15J.8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200.8(2)</w:t>
      </w:r>
      <w:r>
        <w:rPr>
          <w:rFonts w:ascii="Times New Roman" w:hAnsi="Times New Roman"/>
          <w:b w:val="false"/>
          <w:i w:val="false"/>
          <w:color w:val="000000"/>
          <w:sz w:val="22"/>
        </w:rPr>
        <w:t> </w:t>
      </w:r>
      <w:r>
        <w:rPr>
          <w:rFonts w:ascii="Times New Roman" w:hAnsi="Times New Roman"/>
          <w:b w:val="false"/>
          <w:i/>
          <w:color w:val="000000"/>
          <w:sz w:val="22"/>
        </w:rPr>
        <w:t xml:space="preserve">District dissolution. </w:t>
      </w:r>
      <w:r>
        <w:rPr>
          <w:rFonts w:ascii="Times New Roman" w:hAnsi="Times New Roman"/>
          <w:b w:val="false"/>
          <w:i w:val="false"/>
          <w:color w:val="000000"/>
          <w:sz w:val="22"/>
        </w:rPr>
        <w:t>If a municipality is notified that its maximum benefit amount has been reached, the municipality shall dissolve the district by ordinance or resolution as soon as practicable after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200.8(3)</w:t>
      </w:r>
      <w:r>
        <w:rPr>
          <w:rFonts w:ascii="Times New Roman" w:hAnsi="Times New Roman"/>
          <w:b w:val="false"/>
          <w:i w:val="false"/>
          <w:color w:val="000000"/>
          <w:sz w:val="22"/>
        </w:rPr>
        <w:t> </w:t>
      </w:r>
      <w:r>
        <w:rPr>
          <w:rFonts w:ascii="Times New Roman" w:hAnsi="Times New Roman"/>
          <w:b w:val="false"/>
          <w:i/>
          <w:color w:val="000000"/>
          <w:sz w:val="22"/>
        </w:rPr>
        <w:t xml:space="preserve">Requests for extension. </w:t>
      </w:r>
      <w:r>
        <w:rPr>
          <w:rFonts w:ascii="Times New Roman" w:hAnsi="Times New Roman"/>
          <w:b w:val="false"/>
          <w:i w:val="false"/>
          <w:color w:val="000000"/>
          <w:sz w:val="22"/>
        </w:rPr>
        <w:t xml:space="preserve">The board may extend the district’s 20-year period of time for depositing and receiving revenues in accordance with Iowa Code section </w:t>
      </w:r>
      <w:hyperlink r:id="rId56">
        <w:r>
          <w:rPr>
            <w:rStyle w:val="Hyperlink"/>
            <w:rFonts w:ascii="Times New Roman" w:hAnsi="Times New Roman"/>
            <w:b w:val="false"/>
            <w:i w:val="false"/>
            <w:color w:val="000000"/>
            <w:sz w:val="22"/>
          </w:rPr>
          <w:t>15J.8(3)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0135D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261—200.9</w:t>
      </w:r>
      <w:r>
        <w:rPr>
          <w:rFonts w:ascii="Times New Roman" w:hAnsi="Times New Roman"/>
          <w:b/>
          <w:i w:val="false"/>
          <w:color w:val="000000"/>
          <w:sz w:val="22"/>
        </w:rPr>
        <w:t xml:space="preserve">(15J) </w:t>
      </w:r>
      <w:r>
        <w:rPr>
          <w:rFonts w:ascii="Times New Roman" w:hAnsi="Times New Roman"/>
          <w:b/>
          <w:i w:val="false"/>
          <w:color w:val="000000"/>
          <w:sz w:val="22"/>
        </w:rPr>
        <w:t xml:space="preserve">Cross-reference to department rules. </w:t>
      </w:r>
      <w:r>
        <w:rPr>
          <w:rFonts w:ascii="Times New Roman" w:hAnsi="Times New Roman"/>
          <w:b w:val="false"/>
          <w:i w:val="false"/>
          <w:color w:val="000000"/>
          <w:sz w:val="22"/>
        </w:rPr>
        <w:t xml:space="preserve">The department has adopted rules for the administration and deposit of moneys into the fund and into accounts in </w:t>
      </w:r>
      <w:hyperlink r:id="rId57">
        <w:r>
          <w:rPr>
            <w:rStyle w:val="Hyperlink"/>
            <w:rFonts w:ascii="Times New Roman" w:hAnsi="Times New Roman"/>
            <w:b w:val="false"/>
            <w:i w:val="false"/>
            <w:color w:val="000000"/>
            <w:sz w:val="22"/>
          </w:rPr>
          <w:t>701—Chapter 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0135D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8">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1175C</w:t>
      </w:r>
      <w:r>
        <w:rPr>
          <w:rFonts w:ascii="Times New Roman" w:hAnsi="Times New Roman"/>
          <w:b w:val="false"/>
          <w:i w:val="false"/>
          <w:color w:val="000000"/>
          <w:sz w:val="21"/>
        </w:rPr>
        <w:t xml:space="preserve"> (Notice ARC 0947C, IAB 8/21/13)</w:t>
      </w:r>
      <w:r>
        <w:rPr>
          <w:rFonts w:ascii="Times New Roman" w:hAnsi="Times New Roman"/>
          <w:b w:val="false"/>
          <w:i w:val="false"/>
          <w:color w:val="000000"/>
          <w:sz w:val="21"/>
        </w:rPr>
        <w:t>, IAB 11/13/13, effective 12/18/13]</w:t>
      </w:r>
    </w:p>
    <w:p>
      <w:pPr>
        <w:spacing w:before="0" w:after="0"/>
        <w:ind w:left="120"/>
        <w:jc w:val="center"/>
      </w:pPr>
      <w:r>
        <w:rPr>
          <w:rFonts w:ascii="Times New Roman" w:hAnsi="Times New Roman"/>
          <w:b w:val="false"/>
          <w:i w:val="false"/>
          <w:color w:val="000000"/>
          <w:sz w:val="21"/>
        </w:rPr>
        <w:t>[Filed ARC 5319C</w:t>
      </w:r>
      <w:r>
        <w:rPr>
          <w:rFonts w:ascii="Times New Roman" w:hAnsi="Times New Roman"/>
          <w:b w:val="false"/>
          <w:i w:val="false"/>
          <w:color w:val="000000"/>
          <w:sz w:val="21"/>
        </w:rPr>
        <w:t xml:space="preserve"> (Notice ARC 5185C,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[Editorial change: IAC Supplement 12/15/21]</w:t>
      </w:r>
    </w:p>
    <w:p>
      <w:pPr>
        <w:spacing w:before="0" w:after="0"/>
        <w:ind w:left="120"/>
        <w:jc w:val="center"/>
      </w:pPr>
      <w:r>
        <w:rPr>
          <w:rFonts w:ascii="Times New Roman" w:hAnsi="Times New Roman"/>
          <w:b w:val="false"/>
          <w:i w:val="false"/>
          <w:color w:val="000000"/>
          <w:sz w:val="21"/>
        </w:rPr>
        <w:t>[Filed ARC 0135D</w:t>
      </w:r>
      <w:r>
        <w:rPr>
          <w:rFonts w:ascii="Times New Roman" w:hAnsi="Times New Roman"/>
          <w:b w:val="false"/>
          <w:i w:val="false"/>
          <w:color w:val="000000"/>
          <w:sz w:val="21"/>
        </w:rPr>
        <w:t xml:space="preserve"> (Notice ARC 9833C, IAB 12/24/25)</w:t>
      </w:r>
      <w:r>
        <w:rPr>
          <w:rFonts w:ascii="Times New Roman" w:hAnsi="Times New Roman"/>
          <w:b w:val="false"/>
          <w:i w:val="false"/>
          <w:color w:val="000000"/>
          <w:sz w:val="21"/>
        </w:rPr>
        <w:t>, IAB 3/18/26, effective 4/22/26]</w:t>
      </w:r>
    </w:p>
    <w:p>
      <w:pPr>
        <w:spacing w:before="0" w:after="0"/>
        <w:ind w:left="120"/>
        <w:jc w:val="center"/>
      </w:pPr>
      <w:r>
        <w:rPr>
          <w:rFonts w:ascii="Times New Roman" w:hAnsi="Times New Roman"/>
          <w:b w:val="false"/>
          <w:i w:val="false"/>
          <w:color w:val="000000"/>
          <w:sz w:val="21"/>
        </w:rPr>
        <w:t>[Editorial change: IAC Supplement 4/1/26]</w:t>
      </w:r>
    </w:p>
    <w:sectPr>
      <w:footerReference r:id="rId5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61.200.2.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102.pdf" Type="http://schemas.openxmlformats.org/officeDocument/2006/relationships/hyperlink" Id="rId7"/>
    <Relationship TargetMode="External" Target="https://www.legis.iowa.gov/docs/ico/chapter/15J.2.pdf" Type="http://schemas.openxmlformats.org/officeDocument/2006/relationships/hyperlink" Id="rId8"/>
    <Relationship TargetMode="External" Target="https://www.legis.iowa.gov/docs/ico/chapter/15J.2.pdf" Type="http://schemas.openxmlformats.org/officeDocument/2006/relationships/hyperlink" Id="rId9"/>
    <Relationship TargetMode="External" Target="https://www.legis.iowa.gov/docs/iac/chapter/261.1.pdf" Type="http://schemas.openxmlformats.org/officeDocument/2006/relationships/hyperlink" Id="rId10"/>
    <Relationship TargetMode="External" Target="https://www.legis.iowa.gov/docs/ico/chapter/15J.2.pdf" Type="http://schemas.openxmlformats.org/officeDocument/2006/relationships/hyperlink" Id="rId11"/>
    <Relationship TargetMode="External" Target="https://www.legis.iowa.gov/docs/ico/chapter/28E.pdf" Type="http://schemas.openxmlformats.org/officeDocument/2006/relationships/hyperlink" Id="rId12"/>
    <Relationship TargetMode="External" Target="https://www.legis.iowa.gov/docs/iac/rule/261.200.5.pdf" Type="http://schemas.openxmlformats.org/officeDocument/2006/relationships/hyperlink" Id="rId13"/>
    <Relationship TargetMode="External" Target="https://www.legis.iowa.gov/docs/ico/chapter/15J.2.pdf" Type="http://schemas.openxmlformats.org/officeDocument/2006/relationships/hyperlink" Id="rId14"/>
    <Relationship TargetMode="External" Target="https://www.legis.iowa.gov/docs/ico/chapter/15J.2.pdf" Type="http://schemas.openxmlformats.org/officeDocument/2006/relationships/hyperlink" Id="rId15"/>
    <Relationship TargetMode="External" Target="https://www.legis.iowa.gov/docs/ico/chapter/15J.2.pdf" Type="http://schemas.openxmlformats.org/officeDocument/2006/relationships/hyperlink" Id="rId16"/>
    <Relationship TargetMode="External" Target="https://www.legis.iowa.gov/docs/ico/chapter/15J.pdf" Type="http://schemas.openxmlformats.org/officeDocument/2006/relationships/hyperlink" Id="rId17"/>
    <Relationship TargetMode="External" Target="https://www.legis.iowa.gov/docs/ico/chapter/15J.2.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co/chapter/423.2.pdf" Type="http://schemas.openxmlformats.org/officeDocument/2006/relationships/hyperlink" Id="rId20"/>
    <Relationship TargetMode="External" Target="https://www.legis.iowa.gov/docs/ico/chapter/15J.2.pdf" Type="http://schemas.openxmlformats.org/officeDocument/2006/relationships/hyperlink" Id="rId21"/>
    <Relationship TargetMode="External" Target="https://www.legis.iowa.gov/docs/ico/chapter/15J.2.pdf" Type="http://schemas.openxmlformats.org/officeDocument/2006/relationships/hyperlink" Id="rId22"/>
    <Relationship TargetMode="External" Target="https://www.legis.iowa.gov/docs/ico/chapter/15J.2.pdf" Type="http://schemas.openxmlformats.org/officeDocument/2006/relationships/hyperlink" Id="rId23"/>
    <Relationship TargetMode="External" Target="https://www.legis.iowa.gov/docs/ico/chapter/15J.2.pdf" Type="http://schemas.openxmlformats.org/officeDocument/2006/relationships/hyperlink" Id="rId24"/>
    <Relationship TargetMode="External" Target="https://www.legis.iowa.gov/docs/iac/rule/261.200.3.pdf" Type="http://schemas.openxmlformats.org/officeDocument/2006/relationships/hyperlink" Id="rId25"/>
    <Relationship TargetMode="External" Target="https://www.legis.iowa.gov/docs/iac/rule/261.200.3.pdf" Type="http://schemas.openxmlformats.org/officeDocument/2006/relationships/hyperlink" Id="rId26"/>
    <Relationship TargetMode="External" Target="https://www.legis.iowa.gov/docs/iac/rule/261.200.4.pdf" Type="http://schemas.openxmlformats.org/officeDocument/2006/relationships/hyperlink" Id="rId27"/>
    <Relationship TargetMode="External" Target="https://www.legis.iowa.gov/docs/iac/rule/261.200.5.pdf" Type="http://schemas.openxmlformats.org/officeDocument/2006/relationships/hyperlink" Id="rId28"/>
    <Relationship TargetMode="External" Target="https://www.legis.iowa.gov/docs/ico/chapter/15J.4.pdf" Type="http://schemas.openxmlformats.org/officeDocument/2006/relationships/hyperlink" Id="rId29"/>
    <Relationship TargetMode="External" Target="https://www.legis.iowa.gov/docs/ico/chapter/15J.4.pdf" Type="http://schemas.openxmlformats.org/officeDocument/2006/relationships/hyperlink" Id="rId30"/>
    <Relationship TargetMode="External" Target="https://www.legis.iowa.gov/docs/ico/chapter/15J.4.pdf" Type="http://schemas.openxmlformats.org/officeDocument/2006/relationships/hyperlink" Id="rId31"/>
    <Relationship TargetMode="External" Target="https://www.legis.iowa.gov/docs/ico/chapter/15J.4.pdf" Type="http://schemas.openxmlformats.org/officeDocument/2006/relationships/hyperlink" Id="rId32"/>
    <Relationship TargetMode="External" Target="https://www.legis.iowa.gov/docs/ico/chapter/15J.4.pdf" Type="http://schemas.openxmlformats.org/officeDocument/2006/relationships/hyperlink" Id="rId33"/>
    <Relationship TargetMode="External" Target="https://www.legis.iowa.gov/docs/ico/chapter/15J.4.pdf" Type="http://schemas.openxmlformats.org/officeDocument/2006/relationships/hyperlink" Id="rId34"/>
    <Relationship TargetMode="External" Target="https://www.legis.iowa.gov/docs/iac/rule/261.200.3.pdf" Type="http://schemas.openxmlformats.org/officeDocument/2006/relationships/hyperlink" Id="rId35"/>
    <Relationship TargetMode="External" Target="https://www.legis.iowa.gov/docs/ico/chapter/15J.4.pdf" Type="http://schemas.openxmlformats.org/officeDocument/2006/relationships/hyperlink" Id="rId36"/>
    <Relationship TargetMode="External" Target="https://www.legis.iowa.gov/docs/iac/rule/261.200.2.pdf" Type="http://schemas.openxmlformats.org/officeDocument/2006/relationships/hyperlink" Id="rId37"/>
    <Relationship TargetMode="External" Target="https://www.legis.iowa.gov/docs/ico/chapter/15J.4.pdf" Type="http://schemas.openxmlformats.org/officeDocument/2006/relationships/hyperlink" Id="rId38"/>
    <Relationship TargetMode="External" Target="https://www.legis.iowa.gov/docs/iac/rule/261.200.4.pdf" Type="http://schemas.openxmlformats.org/officeDocument/2006/relationships/hyperlink" Id="rId39"/>
    <Relationship TargetMode="External" Target="https://www.legis.iowa.gov/docs/iac/rule/261.200.4.pdf" Type="http://schemas.openxmlformats.org/officeDocument/2006/relationships/hyperlink" Id="rId40"/>
    <Relationship TargetMode="External" Target="https://www.legis.iowa.gov/docs/ico/chapter/15J.4.pdf" Type="http://schemas.openxmlformats.org/officeDocument/2006/relationships/hyperlink" Id="rId41"/>
    <Relationship TargetMode="External" Target="https://www.legis.iowa.gov/docs/ico/chapter/15J.4.pdf" Type="http://schemas.openxmlformats.org/officeDocument/2006/relationships/hyperlink" Id="rId42"/>
    <Relationship TargetMode="External" Target="https://www.legis.iowa.gov/docs/iac/rule/261.200.4.pdf" Type="http://schemas.openxmlformats.org/officeDocument/2006/relationships/hyperlink" Id="rId43"/>
    <Relationship TargetMode="External" Target="https://www.legis.iowa.gov/docs/iac/rule/261.200.2.pdf" Type="http://schemas.openxmlformats.org/officeDocument/2006/relationships/hyperlink" Id="rId44"/>
    <Relationship TargetMode="External" Target="https://www.legis.iowa.gov/docs/iac/rule/261.200.5.pdf" Type="http://schemas.openxmlformats.org/officeDocument/2006/relationships/hyperlink" Id="rId45"/>
    <Relationship TargetMode="External" Target="https://www.legis.iowa.gov/docs/ico/chapter/15J.4.pdf" Type="http://schemas.openxmlformats.org/officeDocument/2006/relationships/hyperlink" Id="rId46"/>
    <Relationship TargetMode="External" Target="https://www.legis.iowa.gov/docs/iac/rule/261.200.3.pdf" Type="http://schemas.openxmlformats.org/officeDocument/2006/relationships/hyperlink" Id="rId47"/>
    <Relationship TargetMode="External" Target="https://www.legis.iowa.gov/docs/ico/chapter/15J.4.pdf" Type="http://schemas.openxmlformats.org/officeDocument/2006/relationships/hyperlink" Id="rId48"/>
    <Relationship TargetMode="External" Target="https://www.legis.iowa.gov/docs/iac/rule/261.200.5.pdf" Type="http://schemas.openxmlformats.org/officeDocument/2006/relationships/hyperlink" Id="rId49"/>
    <Relationship TargetMode="External" Target="https://www.legis.iowa.gov/docs/ico/chapter/15J.4.pdf" Type="http://schemas.openxmlformats.org/officeDocument/2006/relationships/hyperlink" Id="rId50"/>
    <Relationship TargetMode="External" Target="https://www.legis.iowa.gov/docs/ico/chapter/15J.4.pdf" Type="http://schemas.openxmlformats.org/officeDocument/2006/relationships/hyperlink" Id="rId51"/>
    <Relationship TargetMode="External" Target="https://www.legis.iowa.gov/docs/ico/chapter/15J.4.pdf" Type="http://schemas.openxmlformats.org/officeDocument/2006/relationships/hyperlink" Id="rId52"/>
    <Relationship TargetMode="External" Target="https://www.legis.iowa.gov/docs/ico/chapter/15J.4.pdf" Type="http://schemas.openxmlformats.org/officeDocument/2006/relationships/hyperlink" Id="rId53"/>
    <Relationship TargetMode="External" Target="https://www.legis.iowa.gov/docs/ico/chapter/15J.4.pdf" Type="http://schemas.openxmlformats.org/officeDocument/2006/relationships/hyperlink" Id="rId54"/>
    <Relationship TargetMode="External" Target="https://www.legis.iowa.gov/docs/ico/chapter/15J.8.pdf" Type="http://schemas.openxmlformats.org/officeDocument/2006/relationships/hyperlink" Id="rId55"/>
    <Relationship TargetMode="External" Target="https://www.legis.iowa.gov/docs/ico/chapter/15J.8.pdf" Type="http://schemas.openxmlformats.org/officeDocument/2006/relationships/hyperlink" Id="rId56"/>
    <Relationship TargetMode="External" Target="https://www.legis.iowa.gov/docs/iac/chapter/701.273.pdf" Type="http://schemas.openxmlformats.org/officeDocument/2006/relationships/hyperlink" Id="rId57"/>
    <Relationship TargetMode="External" Target="https://www.legis.iowa.gov/docs/ico/chapter/15J.pdf" Type="http://schemas.openxmlformats.org/officeDocument/2006/relationships/hyperlink" Id="rId58"/>
    <Relationship Target="footer.xml" Type="http://schemas.openxmlformats.org/officeDocument/2006/relationships/footer" Id="rId5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