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DEBARMENT FROM PARTICIPATION IN AUTHORITY PROGRAMS AND TRANSACTIONS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261—2.1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any entity that directly or indirectly through one or more intermediaries controls, is controlled by, or is under common control with another entity or person. “Control” as used in this definition means the possession, direct or indirect, of the power to direct or cause the direction of the management and policies of an enterprise through ownership, by contract or otherwise. A voting interest of 10 percent or more creates a rebuttable presumption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“Debar”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“debarment” </w:t>
      </w:r>
      <w:r>
        <w:rPr>
          <w:rFonts w:ascii="Times New Roman" w:hAnsi="Times New Roman"/>
          <w:b w:val="false"/>
          <w:i w:val="false"/>
          <w:color w:val="000000"/>
          <w:sz w:val="22"/>
        </w:rPr>
        <w:t xml:space="preserve">means action taken by the authority to prohibit a person from receiving an award of financial assistance or from being selected as a vendor pursuant to Iowa Code section </w:t>
      </w:r>
      <w:hyperlink r:id="rId6">
        <w:r>
          <w:rPr>
            <w:rStyle w:val="Hyperlink"/>
            <w:rFonts w:ascii="Times New Roman" w:hAnsi="Times New Roman"/>
            <w:b w:val="false"/>
            <w:i w:val="false"/>
            <w:color w:val="000000"/>
            <w:sz w:val="22"/>
          </w:rPr>
          <w:t>15.106E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 xml:space="preserve">means an officer, director, or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 person the authority intends to debar or has debarred.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who provides goods or services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261—2.2</w:t>
      </w:r>
      <w:r>
        <w:rPr>
          <w:rFonts w:ascii="Times New Roman" w:hAnsi="Times New Roman"/>
          <w:b/>
          <w:i w:val="false"/>
          <w:color w:val="000000"/>
          <w:sz w:val="22"/>
        </w:rPr>
        <w:t xml:space="preserve">(15) </w:t>
      </w:r>
      <w:r>
        <w:rPr>
          <w:rFonts w:ascii="Times New Roman" w:hAnsi="Times New Roman"/>
          <w:b/>
          <w:i w:val="false"/>
          <w:color w:val="000000"/>
          <w:sz w:val="22"/>
        </w:rPr>
        <w:t xml:space="preserve">Factors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debar a person in any of the circumstances listed in Iowa Code section </w:t>
      </w:r>
      <w:hyperlink r:id="rId8">
        <w:r>
          <w:rPr>
            <w:rStyle w:val="Hyperlink"/>
            <w:rFonts w:ascii="Times New Roman" w:hAnsi="Times New Roman"/>
            <w:b w:val="false"/>
            <w:i w:val="false"/>
            <w:color w:val="000000"/>
            <w:sz w:val="22"/>
          </w:rPr>
          <w:t>15.106E(1)</w:t>
        </w:r>
      </w:hyperlink>
      <w:r>
        <w:rPr>
          <w:rFonts w:ascii="Times New Roman" w:hAnsi="Times New Roman"/>
          <w:b w:val="false"/>
          <w:i w:val="false"/>
          <w:color w:val="000000"/>
          <w:sz w:val="22"/>
        </w:rPr>
        <w:t>. The authority will consider the following factors to determine whether debarment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person had effective standards of conduct and internal control systems in place at the time the cause for debarment occurred or has adopted such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person brought the cause for debarment to the attention of the authority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fully investigated the circumstances surrounding the cause for debarment and, if so, has made the result of the investigation available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person cooperated fully with the authority or other government agencies during any investigation or court or administrative action related to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paid or has agreed to pay all applicable criminal, civil, and administrative liability relating to the cause for debarment, including any investigative or administrative costs incurred by the authority, and has made or agreed to make full restitution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taken appropriate disciplinary action against the individuals responsible for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implemented or agreed to implement remedial measures, including any identified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had adequate time to eliminate the circumstances that led to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person or relevant principals in an organization recognize and understand the seriousness of the misconduct giving rise to the cause for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Whether the federal government, another state, or another state agency has issued a debarment or other prohibition comparable to debarment based on the same or similar conduct that constitutes cause for debarment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factors deemed relevant to the cause for debarment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existence or nonexistence of any mitigating factors or remedial measures, including those set forth in subrule </w:t>
      </w:r>
      <w:hyperlink r:id="rId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is not necessarily determinative of whether the authority will debar a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w:t>
      </w:r>
      <w:r>
        <w:rPr>
          <w:rFonts w:ascii="Times New Roman" w:hAnsi="Times New Roman"/>
          <w:b/>
          <w:i w:val="false"/>
          <w:color w:val="000000"/>
          <w:sz w:val="22"/>
        </w:rPr>
        <w:t xml:space="preserve">(15) </w:t>
      </w:r>
      <w:r>
        <w:rPr>
          <w:rFonts w:ascii="Times New Roman" w:hAnsi="Times New Roman"/>
          <w:b/>
          <w:i w:val="false"/>
          <w:color w:val="000000"/>
          <w:sz w:val="22"/>
        </w:rPr>
        <w:t xml:space="preserve">Debarment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Upon receipt of information that a person has engaged in conduct that could constitute cause for debarment, the director will determine whether to debar a person based on all information available to the authority or whether additional information is required to make such a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debarment is warranted, the person and any affiliates, principals, or employees to be debarred will be given prompt notice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person is debarred and the identity of any affiliates, principals, or employees who are debarred;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circumstance(s) in Iowa Code section </w:t>
      </w:r>
      <w:hyperlink r:id="rId10">
        <w:r>
          <w:rPr>
            <w:rStyle w:val="Hyperlink"/>
            <w:rFonts w:ascii="Times New Roman" w:hAnsi="Times New Roman"/>
            <w:b w:val="false"/>
            <w:i w:val="false"/>
            <w:color w:val="000000"/>
            <w:sz w:val="22"/>
          </w:rPr>
          <w:t>15.106E(1)</w:t>
        </w:r>
      </w:hyperlink>
      <w:r>
        <w:rPr>
          <w:rFonts w:ascii="Times New Roman" w:hAnsi="Times New Roman"/>
          <w:b w:val="false"/>
          <w:i w:val="false"/>
          <w:color w:val="000000"/>
          <w:sz w:val="22"/>
        </w:rPr>
        <w:t xml:space="preserve"> relied on by the authority to impose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conduct or information upon which the debarment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period of debarment, including effective dates;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effect of the proposed debarment, including identification of authority programs or transactions to which the debarment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If the director determines that additional information is required, the person and any affiliates, principals, or employees who may be debarred will be given prompt notice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debarment is being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circumstance(s) in Iowa Code section </w:t>
      </w:r>
      <w:hyperlink r:id="rId11">
        <w:r>
          <w:rPr>
            <w:rStyle w:val="Hyperlink"/>
            <w:rFonts w:ascii="Times New Roman" w:hAnsi="Times New Roman"/>
            <w:b w:val="false"/>
            <w:i w:val="false"/>
            <w:color w:val="000000"/>
            <w:sz w:val="22"/>
          </w:rPr>
          <w:t>15.106E(1)</w:t>
        </w:r>
      </w:hyperlink>
      <w:r>
        <w:rPr>
          <w:rFonts w:ascii="Times New Roman" w:hAnsi="Times New Roman"/>
          <w:b w:val="false"/>
          <w:i w:val="false"/>
          <w:color w:val="000000"/>
          <w:sz w:val="22"/>
        </w:rPr>
        <w:t xml:space="preserve"> relied on by the authority to propose debarment;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conduct or information upon which the proposed debarment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period of proposed debarment, including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effect of the proposed debarment, including identification of authority programs or transactions to which the debarment may apply;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additional information sought by the authority to determine whether debarment is warranted, when the respondent must provide such information, and the effect of failure to provide such information to the satisfaction of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following the procedure identified in subrule </w:t>
      </w:r>
      <w:hyperlink r:id="rId12">
        <w:r>
          <w:rPr>
            <w:rStyle w:val="Hyperlink"/>
            <w:rFonts w:ascii="Times New Roman" w:hAnsi="Times New Roman"/>
            <w:b w:val="false"/>
            <w:i w:val="false"/>
            <w:color w:val="000000"/>
            <w:sz w:val="22"/>
          </w:rPr>
          <w:t>2.3(3)</w:t>
        </w:r>
      </w:hyperlink>
      <w:r>
        <w:rPr>
          <w:rFonts w:ascii="Times New Roman" w:hAnsi="Times New Roman"/>
          <w:b w:val="false"/>
          <w:i w:val="false"/>
          <w:color w:val="000000"/>
          <w:sz w:val="22"/>
        </w:rPr>
        <w:t xml:space="preserve">, the director will promptly notify in writing the person and any affected affiliates, employees, or principals whether debarment is imposed. If debarment is imposed, notification will be provided in accordance with subrule </w:t>
      </w:r>
      <w:hyperlink r:id="rId1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val="false"/>
          <w:color w:val="000000"/>
          <w:sz w:val="22"/>
        </w:rPr>
        <w:t>The authority may, in its discretion, enter into an agreement with a person establishing terms and conditions for continued or future participation in authority programs or transactions in lieu of debarment.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261—2.4</w:t>
      </w:r>
      <w:r>
        <w:rPr>
          <w:rFonts w:ascii="Times New Roman" w:hAnsi="Times New Roman"/>
          <w:b/>
          <w:i w:val="false"/>
          <w:color w:val="000000"/>
          <w:sz w:val="22"/>
        </w:rPr>
        <w:t xml:space="preserve">(15) </w:t>
      </w:r>
      <w:r>
        <w:rPr>
          <w:rFonts w:ascii="Times New Roman" w:hAnsi="Times New Roman"/>
          <w:b/>
          <w:i w:val="false"/>
          <w:color w:val="000000"/>
          <w:sz w:val="22"/>
        </w:rPr>
        <w:t xml:space="preserve">Period and scope of debarment.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Debarment will be for a period commensurate with the acts or omissions of the person to be debarred. A person will not be debarred for an initial period that exceeds three years. The authority may impose an additional period of debarment if, prior to the expiration of an initial period of debarment, the authority determines an additional period of debarment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A person may be debarred from one or more authority programs or transactions or from all authority programs and transactions.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261—2.5</w:t>
      </w:r>
      <w:r>
        <w:rPr>
          <w:rFonts w:ascii="Times New Roman" w:hAnsi="Times New Roman"/>
          <w:b/>
          <w:i w:val="false"/>
          <w:color w:val="000000"/>
          <w:sz w:val="22"/>
        </w:rPr>
        <w:t xml:space="preserve">(15) </w:t>
      </w:r>
      <w:r>
        <w:rPr>
          <w:rFonts w:ascii="Times New Roman" w:hAnsi="Times New Roman"/>
          <w:b/>
          <w:i w:val="false"/>
          <w:color w:val="000000"/>
          <w:sz w:val="22"/>
        </w:rPr>
        <w:t xml:space="preserve">Request for review and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debarred by the authority may request a review of the authority’s determination pursuant to Iowa Code section </w:t>
      </w:r>
      <w:hyperlink r:id="rId14">
        <w:r>
          <w:rPr>
            <w:rStyle w:val="Hyperlink"/>
            <w:rFonts w:ascii="Times New Roman" w:hAnsi="Times New Roman"/>
            <w:b w:val="false"/>
            <w:i w:val="false"/>
            <w:color w:val="000000"/>
            <w:sz w:val="22"/>
          </w:rPr>
          <w:t>15.106E(3)</w:t>
        </w:r>
      </w:hyperlink>
      <w:r>
        <w:rPr>
          <w:rFonts w:ascii="Times New Roman" w:hAnsi="Times New Roman"/>
          <w:b w:val="false"/>
          <w:i w:val="false"/>
          <w:color w:val="000000"/>
          <w:sz w:val="22"/>
        </w:rPr>
        <w:t>. The request may include any information relevant to demonstrate the authority’s determination was based on a clear error of material fact or law or that the authority’s determination was arbitrary, capricious, or an abuse of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issue a decision on the request for review in accordance with Iowa Code section </w:t>
      </w:r>
      <w:hyperlink r:id="rId15">
        <w:r>
          <w:rPr>
            <w:rStyle w:val="Hyperlink"/>
            <w:rFonts w:ascii="Times New Roman" w:hAnsi="Times New Roman"/>
            <w:b w:val="false"/>
            <w:i w:val="false"/>
            <w:color w:val="000000"/>
            <w:sz w:val="22"/>
          </w:rPr>
          <w:t>15.106E(3)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261—2.6</w:t>
      </w:r>
      <w:r>
        <w:rPr>
          <w:rFonts w:ascii="Times New Roman" w:hAnsi="Times New Roman"/>
          <w:b/>
          <w:i w:val="false"/>
          <w:color w:val="000000"/>
          <w:sz w:val="22"/>
        </w:rPr>
        <w:t xml:space="preserve">(15) </w:t>
      </w:r>
      <w:r>
        <w:rPr>
          <w:rFonts w:ascii="Times New Roman" w:hAnsi="Times New Roman"/>
          <w:b/>
          <w:i w:val="false"/>
          <w:color w:val="000000"/>
          <w:sz w:val="22"/>
        </w:rPr>
        <w:t xml:space="preserve">Request for reinstatement after debarment.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A person who has been debarred may submit a request for reinstatement during the period of debarment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information becomes available that is relevant to the cause for debarment and that was not previously discoverable;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Criminal charges or civil or administrative actions related to the cause for debarment have been dismissed or a criminal conviction or civil judgment related to the cause for debarment has been reversed;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debarment or comparable prohibition imposed by the federal government, another state, or another state agency, upon which the authority debarment was based, has been reversed;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bona fide change in ownership or management of the person debarred has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is able to supply other proof that the causes for debarment have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A request for reinstatement must be submitted to the director. The petition must be accompanied by written evidence that supports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issue a decision on a request for reinstatement within 60 calendar days of the receipt of the request. The authority may approve, deny, or modify the debarment based on all information available to the authority and based upon the factors identified in rule </w:t>
      </w:r>
      <w:hyperlink r:id="rId16">
        <w:r>
          <w:rPr>
            <w:rStyle w:val="Hyperlink"/>
            <w:rFonts w:ascii="Times New Roman" w:hAnsi="Times New Roman"/>
            <w:b w:val="false"/>
            <w:i w:val="false"/>
            <w:color w:val="000000"/>
            <w:sz w:val="22"/>
          </w:rPr>
          <w:t>261—2.2</w:t>
        </w:r>
      </w:hyperlink>
      <w:r>
        <w:rPr>
          <w:rFonts w:ascii="Times New Roman" w:hAnsi="Times New Roman"/>
          <w:b w:val="false"/>
          <w:i w:val="false"/>
          <w:color w:val="000000"/>
          <w:sz w:val="22"/>
        </w:rPr>
        <w:t>(15). The authority shall issue its decision in writing and provide written notice of the decision to the person and any affected affiliates, principals, or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261—2.7</w:t>
      </w:r>
      <w:r>
        <w:rPr>
          <w:rFonts w:ascii="Times New Roman" w:hAnsi="Times New Roman"/>
          <w:b/>
          <w:i w:val="false"/>
          <w:color w:val="000000"/>
          <w:sz w:val="22"/>
        </w:rPr>
        <w:t xml:space="preserve">(15) </w:t>
      </w:r>
      <w:r>
        <w:rPr>
          <w:rFonts w:ascii="Times New Roman" w:hAnsi="Times New Roman"/>
          <w:b/>
          <w:i w:val="false"/>
          <w:color w:val="000000"/>
          <w:sz w:val="22"/>
        </w:rPr>
        <w:t xml:space="preserve">Additional remedies. </w:t>
      </w:r>
      <w:r>
        <w:rPr>
          <w:rFonts w:ascii="Times New Roman" w:hAnsi="Times New Roman"/>
          <w:b w:val="false"/>
          <w:i w:val="false"/>
          <w:color w:val="000000"/>
          <w:sz w:val="22"/>
        </w:rPr>
        <w:t>The authority may impose additional consequences for a cause for debarment that are allowed under any authority programs in which a debarred person is participating or any existing agreements between the authority and a debarred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15.106E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9651C</w:t>
      </w:r>
      <w:r>
        <w:rPr>
          <w:rFonts w:ascii="Times New Roman" w:hAnsi="Times New Roman"/>
          <w:b w:val="false"/>
          <w:i w:val="false"/>
          <w:color w:val="000000"/>
          <w:sz w:val="21"/>
        </w:rPr>
        <w:t xml:space="preserve"> (Notice ARC 9458C, IAB 8/6/25)</w:t>
      </w:r>
      <w:r>
        <w:rPr>
          <w:rFonts w:ascii="Times New Roman" w:hAnsi="Times New Roman"/>
          <w:b w:val="false"/>
          <w:i w:val="false"/>
          <w:color w:val="000000"/>
          <w:sz w:val="21"/>
        </w:rPr>
        <w:t>, IAB 10/29/25, effective 12/3/25]</w:t>
      </w:r>
    </w:p>
    <w:sectPr>
      <w:footerReference r:id="rId1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6E.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5.106E.pdf" Type="http://schemas.openxmlformats.org/officeDocument/2006/relationships/hyperlink" Id="rId8"/>
    <Relationship TargetMode="External" Target="https://www.legis.iowa.gov/docs/iac/rule/261.2.2.pdf" Type="http://schemas.openxmlformats.org/officeDocument/2006/relationships/hyperlink" Id="rId9"/>
    <Relationship TargetMode="External" Target="https://www.legis.iowa.gov/docs/ico/chapter/15.106E.pdf" Type="http://schemas.openxmlformats.org/officeDocument/2006/relationships/hyperlink" Id="rId10"/>
    <Relationship TargetMode="External" Target="https://www.legis.iowa.gov/docs/ico/chapter/15.106E.pdf" Type="http://schemas.openxmlformats.org/officeDocument/2006/relationships/hyperlink" Id="rId11"/>
    <Relationship TargetMode="External" Target="https://www.legis.iowa.gov/docs/iac/rule/261.2.3.pdf" Type="http://schemas.openxmlformats.org/officeDocument/2006/relationships/hyperlink" Id="rId12"/>
    <Relationship TargetMode="External" Target="https://www.legis.iowa.gov/docs/iac/rule/261.2.3.pdf" Type="http://schemas.openxmlformats.org/officeDocument/2006/relationships/hyperlink" Id="rId13"/>
    <Relationship TargetMode="External" Target="https://www.legis.iowa.gov/docs/ico/chapter/15.106E.pdf" Type="http://schemas.openxmlformats.org/officeDocument/2006/relationships/hyperlink" Id="rId14"/>
    <Relationship TargetMode="External" Target="https://www.legis.iowa.gov/docs/ico/chapter/15.106E.pdf" Type="http://schemas.openxmlformats.org/officeDocument/2006/relationships/hyperlink" Id="rId15"/>
    <Relationship TargetMode="External" Target="https://www.legis.iowa.gov/docs/iac/rule/261.2.2.pdf" Type="http://schemas.openxmlformats.org/officeDocument/2006/relationships/hyperlink" Id="rId16"/>
    <Relationship TargetMode="External" Target="https://www.legis.iowa.gov/docs/ico/chapter/15.106E.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