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PART IX</w:t>
      </w:r>
    </w:p>
    <w:p>
      <w:pPr>
        <w:pBdr>
          <w:bottom w:space="3"/>
        </w:pBdr>
        <w:spacing w:before="0" w:after="0"/>
        <w:ind w:left="120"/>
        <w:jc w:val="center"/>
      </w:pPr>
      <w:r>
        <w:rPr>
          <w:rFonts w:ascii="Times New Roman" w:hAnsi="Times New Roman"/>
          <w:b w:val="false"/>
          <w:i/>
          <w:color w:val="000000"/>
          <w:sz w:val="16"/>
        </w:rPr>
        <w:t>RECORDS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9/6/00, see 261—Ch 100]</w:t>
      </w:r>
    </w:p>
    <w:p>
      <w:pPr>
        <w:spacing w:before="0" w:after="0"/>
        <w:ind w:left="120"/>
        <w:jc w:val="center"/>
      </w:pPr>
      <w:r>
        <w:rPr>
          <w:rFonts w:ascii="Times New Roman" w:hAnsi="Times New Roman"/>
          <w:b w:val="false"/>
          <w:i w:val="false"/>
          <w:color w:val="000000"/>
          <w:sz w:val="20"/>
        </w:rPr>
        <w:t>[Prior to 7/4/07, see 261—Ch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261—195.1</w:t>
      </w:r>
      <w:r>
        <w:rPr>
          <w:rFonts w:ascii="Times New Roman" w:hAnsi="Times New Roman"/>
          <w:b/>
          <w:i w:val="false"/>
          <w:color w:val="000000"/>
          <w:sz w:val="22"/>
        </w:rPr>
        <w:t xml:space="preserve">(15,22)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records, as identified in Iowa Code section </w:t>
      </w:r>
      <w:hyperlink r:id="rId6">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that are not disclosed to members of the public unless otherwise ordered by a court, by the custodian of the records, or by another person duly authorized to release the records. A record may be partially or wholly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lawful custodian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authority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 for confidential treatment”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request, made pursuant to rule </w:t>
      </w:r>
      <w:hyperlink r:id="rId10">
        <w:r>
          <w:rPr>
            <w:rStyle w:val="Hyperlink"/>
            <w:rFonts w:ascii="Times New Roman" w:hAnsi="Times New Roman"/>
            <w:b w:val="false"/>
            <w:i w:val="false"/>
            <w:color w:val="000000"/>
            <w:sz w:val="22"/>
          </w:rPr>
          <w:t>261—195.4</w:t>
        </w:r>
      </w:hyperlink>
      <w:r>
        <w:rPr>
          <w:rFonts w:ascii="Times New Roman" w:hAnsi="Times New Roman"/>
          <w:b w:val="false"/>
          <w:i w:val="false"/>
          <w:color w:val="000000"/>
          <w:sz w:val="22"/>
        </w:rPr>
        <w:t>(15,22), for the authority to treat a record as a confidential record and withhold such record from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261—195.2</w:t>
      </w:r>
      <w:r>
        <w:rPr>
          <w:rFonts w:ascii="Times New Roman" w:hAnsi="Times New Roman"/>
          <w:b/>
          <w:i w:val="false"/>
          <w:color w:val="000000"/>
          <w:sz w:val="22"/>
        </w:rPr>
        <w:t xml:space="preserve">(15,22) </w:t>
      </w:r>
      <w:r>
        <w:rPr>
          <w:rFonts w:ascii="Times New Roman" w:hAnsi="Times New Roman"/>
          <w:b/>
          <w:i w:val="false"/>
          <w:color w:val="000000"/>
          <w:sz w:val="22"/>
        </w:rPr>
        <w:t xml:space="preserve">Requests for access to authority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261—195.3</w:t>
      </w:r>
      <w:r>
        <w:rPr>
          <w:rFonts w:ascii="Times New Roman" w:hAnsi="Times New Roman"/>
          <w:b/>
          <w:i w:val="false"/>
          <w:color w:val="000000"/>
          <w:sz w:val="22"/>
        </w:rPr>
        <w:t xml:space="preserve">(15,22)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261—195.4</w:t>
      </w:r>
      <w:r>
        <w:rPr>
          <w:rFonts w:ascii="Times New Roman" w:hAnsi="Times New Roman"/>
          <w:b/>
          <w:i w:val="false"/>
          <w:color w:val="000000"/>
          <w:sz w:val="22"/>
        </w:rPr>
        <w:t xml:space="preserve">(15,22) </w:t>
      </w:r>
      <w:r>
        <w:rPr>
          <w:rFonts w:ascii="Times New Roman" w:hAnsi="Times New Roman"/>
          <w:b/>
          <w:i w:val="false"/>
          <w:color w:val="000000"/>
          <w:sz w:val="22"/>
        </w:rPr>
        <w:t xml:space="preserve">Requests for confidential treatment.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261—195.5</w:t>
      </w:r>
      <w:r>
        <w:rPr>
          <w:rFonts w:ascii="Times New Roman" w:hAnsi="Times New Roman"/>
          <w:b/>
          <w:i w:val="false"/>
          <w:color w:val="000000"/>
          <w:sz w:val="22"/>
        </w:rPr>
        <w:t xml:space="preserve">(15,22) </w:t>
      </w:r>
      <w:r>
        <w:rPr>
          <w:rFonts w:ascii="Times New Roman" w:hAnsi="Times New Roman"/>
          <w:b/>
          <w:i w:val="false"/>
          <w:color w:val="000000"/>
          <w:sz w:val="22"/>
        </w:rPr>
        <w:t xml:space="preserve">Additions, dissents or objections.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261—195.6</w:t>
      </w:r>
      <w:r>
        <w:rPr>
          <w:rFonts w:ascii="Times New Roman" w:hAnsi="Times New Roman"/>
          <w:b/>
          <w:i w:val="false"/>
          <w:color w:val="000000"/>
          <w:sz w:val="22"/>
        </w:rPr>
        <w:t xml:space="preserve">(15,22) </w:t>
      </w:r>
      <w:r>
        <w:rPr>
          <w:rFonts w:ascii="Times New Roman" w:hAnsi="Times New Roman"/>
          <w:b/>
          <w:i w:val="false"/>
          <w:color w:val="000000"/>
          <w:sz w:val="22"/>
        </w:rPr>
        <w:t xml:space="preserve">Notices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261—195.7</w:t>
      </w:r>
      <w:r>
        <w:rPr>
          <w:rFonts w:ascii="Times New Roman" w:hAnsi="Times New Roman"/>
          <w:b/>
          <w:i w:val="false"/>
          <w:color w:val="000000"/>
          <w:sz w:val="22"/>
        </w:rPr>
        <w:t xml:space="preserve">(15,22) </w:t>
      </w:r>
      <w:r>
        <w:rPr>
          <w:rFonts w:ascii="Times New Roman" w:hAnsi="Times New Roman"/>
          <w:b/>
          <w:i w:val="false"/>
          <w:color w:val="000000"/>
          <w:sz w:val="22"/>
        </w:rPr>
        <w:t xml:space="preserve">Disclosure of records—consent.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261—195.8</w:t>
      </w:r>
      <w:r>
        <w:rPr>
          <w:rFonts w:ascii="Times New Roman" w:hAnsi="Times New Roman"/>
          <w:b/>
          <w:i w:val="false"/>
          <w:color w:val="000000"/>
          <w:sz w:val="22"/>
        </w:rPr>
        <w:t xml:space="preserve">(15,22)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261—195.9</w:t>
      </w:r>
      <w:r>
        <w:rPr>
          <w:rFonts w:ascii="Times New Roman" w:hAnsi="Times New Roman"/>
          <w:b/>
          <w:i w:val="false"/>
          <w:color w:val="000000"/>
          <w:sz w:val="22"/>
        </w:rPr>
        <w:t xml:space="preserve">(15,22)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195.9(1)</w:t>
      </w:r>
      <w:r>
        <w:rPr>
          <w:rFonts w:ascii="Times New Roman" w:hAnsi="Times New Roman"/>
          <w:b w:val="false"/>
          <w:i w:val="false"/>
          <w:color w:val="000000"/>
          <w:sz w:val="22"/>
        </w:rPr>
        <w:t> </w:t>
      </w:r>
      <w:r>
        <w:rPr>
          <w:rFonts w:ascii="Times New Roman" w:hAnsi="Times New Roman"/>
          <w:b w:val="false"/>
          <w:i/>
          <w:color w:val="000000"/>
          <w:sz w:val="22"/>
        </w:rPr>
        <w:t xml:space="preserve">Collection, maintenance, and retrieval. </w:t>
      </w:r>
      <w:r>
        <w:rPr>
          <w:rFonts w:ascii="Times New Roman" w:hAnsi="Times New Roman"/>
          <w:b w:val="false"/>
          <w:i w:val="false"/>
          <w:color w:val="000000"/>
          <w:sz w:val="22"/>
        </w:rPr>
        <w:t xml:space="preserve">The authority collects personally identifiable information pursuant to Iowa Code provisions relating to the responsibilities of the authority, including but not limited to Iowa Code chapters </w:t>
      </w:r>
      <w:hyperlink r:id="rId1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xml:space="preserve">; Iowa Code sections </w:t>
      </w:r>
      <w:hyperlink r:id="rId17">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476.46A</w:t>
        </w:r>
      </w:hyperlink>
      <w:r>
        <w:rPr>
          <w:rFonts w:ascii="Times New Roman" w:hAnsi="Times New Roman"/>
          <w:b w:val="false"/>
          <w:i w:val="false"/>
          <w:color w:val="000000"/>
          <w:sz w:val="22"/>
        </w:rPr>
        <w:t>; and other applicable laws relating to the responsibilities of the authority. Personally identifiable information is stored by electronic and physical methods. The authority’s record systems do not match, collate or compare personally identifiable information in each system with personally identifiable information contained in other record systems. The authority’s record systems can collect, maintain and retrieve information by personal identifiers, including names, mailing addresses, and email addresses. This rule describes the nature and extent of personally identifiable information that is collected, maintained and retrieved by the authority by personal identifier in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195.9(2)</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 xml:space="preserve">Records of persons or organizations participating in the authority’s programs are collected by the authority. These records may contain information about individuals collected pursuant to specific federal or state statutes or regulations. Personally identifiable information, such as name, address, social security number and telephone number, may be included in these records when the applicant is an individual. Portions of program records may be confidential pursuant to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195.9(3)</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 xml:space="preserve">Records of correspondence from persons outside the authority or sent to persons outside the authority may contain personally identifiable information provided by the sender or recipient of such correspondence. Portions of correspondence may be confidential pursuant to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195.9(4)</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 authority maintains records regarding litigation or anticipated litigation, which includes judicial and administrative proceedings. These records contain materials that are confidential as attorney work product and attorney-client communications pursuant to Iowa Code sections </w:t>
      </w:r>
      <w:hyperlink r:id="rId2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Rule of Civil Procedure 1.503(3); Federal Rule of Civil Procedure 26(b)(3); the rules of evidence; the Code of Professional Responsibility; and case law. Some materials are confidential under other applicable provisions of law or as directed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195.9(5)</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authority maintains files containing information about employees, families and dependents, and applicants for positions with the authority. Portions of personnel files may be confidential pursuant to Iowa Code section </w:t>
      </w:r>
      <w:hyperlink r:id="rId2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261—195.10</w:t>
      </w:r>
      <w:r>
        <w:rPr>
          <w:rFonts w:ascii="Times New Roman" w:hAnsi="Times New Roman"/>
          <w:b/>
          <w:i w:val="false"/>
          <w:color w:val="000000"/>
          <w:sz w:val="22"/>
        </w:rPr>
        <w:t xml:space="preserve">(15,22)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authority other than record systems. These records are routinely available to the public. All or portions of such records may contain confidential information pursuant to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The records are stored by electronic and physical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195.10(2)</w:t>
      </w:r>
      <w:r>
        <w:rPr>
          <w:rFonts w:ascii="Times New Roman" w:hAnsi="Times New Roman"/>
          <w:b w:val="false"/>
          <w:i w:val="false"/>
          <w:color w:val="000000"/>
          <w:sz w:val="22"/>
        </w:rPr>
        <w:t> </w:t>
      </w:r>
      <w:r>
        <w:rPr>
          <w:rFonts w:ascii="Times New Roman" w:hAnsi="Times New Roman"/>
          <w:b w:val="false"/>
          <w:i/>
          <w:color w:val="000000"/>
          <w:sz w:val="22"/>
        </w:rPr>
        <w:t xml:space="preserve">Meeting records. </w:t>
      </w:r>
      <w:r>
        <w:rPr>
          <w:rFonts w:ascii="Times New Roman" w:hAnsi="Times New Roman"/>
          <w:b w:val="false"/>
          <w:i w:val="false"/>
          <w:color w:val="000000"/>
          <w:sz w:val="22"/>
        </w:rPr>
        <w:t xml:space="preserve">Agendas, minutes and materials presented to boards and other bodies associated with the authority are available from the authority, except those records concerning closed sessions that are exempt from disclosure under Iowa Code section </w:t>
      </w:r>
      <w:hyperlink r:id="rId2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Authority meeting records contain information about people who participate in meetings. The information is collected pursuant to Iowa Code section </w:t>
      </w:r>
      <w:hyperlink r:id="rId2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newsletters, and related documents are available from the authority. Authority news releases, project reports, and newsletters may contain information about individuals, including authority staff.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authority programs are available from the authority.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authority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authority employees’ manual, containing procedures describing the authority’s regulations and practices, is available.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261—195.11</w:t>
      </w:r>
      <w:r>
        <w:rPr>
          <w:rFonts w:ascii="Times New Roman" w:hAnsi="Times New Roman"/>
          <w:b/>
          <w:i w:val="false"/>
          <w:color w:val="000000"/>
          <w:sz w:val="22"/>
        </w:rPr>
        <w:t xml:space="preserve">(15,22)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5/27/88 after Notice 4/20/88—published 6/15/88, effective 7/1/88]</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6/20/03, Notice 4/16/04—published 7/9/03, effective 8/13/03]</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9138C</w:t>
      </w:r>
      <w:r>
        <w:rPr>
          <w:rFonts w:ascii="Times New Roman" w:hAnsi="Times New Roman"/>
          <w:b w:val="false"/>
          <w:i w:val="false"/>
          <w:color w:val="000000"/>
          <w:sz w:val="21"/>
        </w:rPr>
        <w:t xml:space="preserve"> (Notice ARC 8663C,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18.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1.pdf" Type="http://schemas.openxmlformats.org/officeDocument/2006/relationships/hyperlink" Id="rId9"/>
    <Relationship TargetMode="External" Target="https://www.legis.iowa.gov/docs/iac/rule/261.195.4.pdf" Type="http://schemas.openxmlformats.org/officeDocument/2006/relationships/hyperlink" Id="rId10"/>
    <Relationship TargetMode="External" Target="https://www.legis.iowa.gov/docs/ico/chapter/15.pdf" Type="http://schemas.openxmlformats.org/officeDocument/2006/relationships/hyperlink" Id="rId11"/>
    <Relationship TargetMode="External" Target="https://www.legis.iowa.gov/docs/ico/chapter/15E.pdf" Type="http://schemas.openxmlformats.org/officeDocument/2006/relationships/hyperlink" Id="rId12"/>
    <Relationship TargetMode="External" Target="https://www.legis.iowa.gov/docs/ico/chapter/15J.pdf" Type="http://schemas.openxmlformats.org/officeDocument/2006/relationships/hyperlink" Id="rId13"/>
    <Relationship TargetMode="External" Target="https://www.legis.iowa.gov/docs/ico/chapter/73.pdf" Type="http://schemas.openxmlformats.org/officeDocument/2006/relationships/hyperlink" Id="rId14"/>
    <Relationship TargetMode="External" Target="https://www.legis.iowa.gov/docs/ico/chapter/404A.pdf" Type="http://schemas.openxmlformats.org/officeDocument/2006/relationships/hyperlink" Id="rId15"/>
    <Relationship TargetMode="External" Target="https://www.legis.iowa.gov/docs/ico/chapter/473.pdf" Type="http://schemas.openxmlformats.org/officeDocument/2006/relationships/hyperlink" Id="rId16"/>
    <Relationship TargetMode="External" Target="https://www.legis.iowa.gov/docs/ico/chapter/403.19A.pdf" Type="http://schemas.openxmlformats.org/officeDocument/2006/relationships/hyperlink" Id="rId17"/>
    <Relationship TargetMode="External" Target="https://www.legis.iowa.gov/docs/ico/chapter/476.46A.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21.5.pdf" Type="http://schemas.openxmlformats.org/officeDocument/2006/relationships/hyperlink" Id="rId27"/>
    <Relationship TargetMode="External" Target="https://www.legis.iowa.gov/docs/ico/chapter/21.3.pdf" Type="http://schemas.openxmlformats.org/officeDocument/2006/relationships/hyperlink" Id="rId28"/>
    <Relationship TargetMode="External" Target="https://www.legis.iowa.gov/docs/ico/chapter/15.pdf" Type="http://schemas.openxmlformats.org/officeDocument/2006/relationships/hyperlink" Id="rId29"/>
    <Relationship TargetMode="External" Target="https://www.legis.iowa.gov/docs/ico/chapter/22.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