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STATE SMALL BUSINESS CREDIT INITIATIVE (SSBCI)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5/10/28</w:t>
      </w:r>
    </w:p>
    <w:p>
      <w:pPr>
        <w:spacing w:before="0" w:after="0"/>
        <w:ind w:left="120"/>
        <w:jc w:val="both"/>
      </w:pPr>
      <w:r>
        <w:rPr>
          <w:rFonts w:ascii="Times New Roman" w:hAnsi="Times New Roman"/>
          <w:b/>
          <w:i w:val="false"/>
          <w:color w:val="000000"/>
          <w:sz w:val="22"/>
        </w:rPr>
        <w:t>261—112.1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the eligible uses of the funds allocated to the state of Iowa on October 11, 2022, from the State Small Business Credit Initiative established by the United States Department of the Treasury. The funds are administered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261—112.2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means the funds allocated to the state of Iowa on October 11, 2022, from the SSBCI by the Treasury. “Allocation” does not include any funds allocated to the state of Iowa from the SSBCI prior to October 11,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“SSBCI” </w:t>
      </w:r>
      <w:r>
        <w:rPr>
          <w:rFonts w:ascii="Times New Roman" w:hAnsi="Times New Roman"/>
          <w:b w:val="false"/>
          <w:i w:val="false"/>
          <w:color w:val="000000"/>
          <w:sz w:val="22"/>
        </w:rPr>
        <w:t>means the State Small Business Credit Initiative established by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“Treasury” </w:t>
      </w:r>
      <w:r>
        <w:rPr>
          <w:rFonts w:ascii="Times New Roman" w:hAnsi="Times New Roman"/>
          <w:b w:val="false"/>
          <w:i w:val="false"/>
          <w:color w:val="000000"/>
          <w:sz w:val="22"/>
        </w:rPr>
        <w:t>means the United States Department of the Treasury.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261—112.3</w:t>
      </w:r>
      <w:r>
        <w:rPr>
          <w:rFonts w:ascii="Times New Roman" w:hAnsi="Times New Roman"/>
          <w:b/>
          <w:i w:val="false"/>
          <w:color w:val="000000"/>
          <w:sz w:val="22"/>
        </w:rPr>
        <w:t xml:space="preserve">(15) </w:t>
      </w:r>
      <w:r>
        <w:rPr>
          <w:rFonts w:ascii="Times New Roman" w:hAnsi="Times New Roman"/>
          <w:b/>
          <w:i w:val="false"/>
          <w:color w:val="000000"/>
          <w:sz w:val="22"/>
        </w:rPr>
        <w:t xml:space="preserve">Federal requirements. </w:t>
      </w:r>
      <w:r>
        <w:rPr>
          <w:rFonts w:ascii="Times New Roman" w:hAnsi="Times New Roman"/>
          <w:b w:val="false"/>
          <w:i w:val="false"/>
          <w:color w:val="000000"/>
          <w:sz w:val="22"/>
        </w:rPr>
        <w:t>The allocation will be administered in accordance with all applicable federal laws, regulations, and guidance, including but not limited to any reporting requirements. The allocation will also be administered in accordance with any agreements between the state and Treasury relating to the SSBCI.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261—112.4</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uses. </w:t>
      </w:r>
      <w:r>
        <w:rPr>
          <w:rFonts w:ascii="Times New Roman" w:hAnsi="Times New Roman"/>
          <w:b w:val="false"/>
          <w:i w:val="false"/>
          <w:color w:val="000000"/>
          <w:sz w:val="22"/>
        </w:rPr>
        <w:t>Eligible uses of the allocation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loan participation program for manufacturing 4.0 investments.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small business collateral support program.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venture capital innovation fund program.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venture capital co-investment fund program.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other purposes approved by the Treasury.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261—112.5</w:t>
      </w:r>
      <w:r>
        <w:rPr>
          <w:rFonts w:ascii="Times New Roman" w:hAnsi="Times New Roman"/>
          <w:b/>
          <w:i w:val="false"/>
          <w:color w:val="000000"/>
          <w:sz w:val="22"/>
        </w:rPr>
        <w:t xml:space="preserve">(15) </w:t>
      </w:r>
      <w:r>
        <w:rPr>
          <w:rFonts w:ascii="Times New Roman" w:hAnsi="Times New Roman"/>
          <w:b/>
          <w:i w:val="false"/>
          <w:color w:val="000000"/>
          <w:sz w:val="22"/>
        </w:rPr>
        <w:t xml:space="preserve">Delegation of certain administrative functions. </w:t>
      </w:r>
      <w:r>
        <w:rPr>
          <w:rFonts w:ascii="Times New Roman" w:hAnsi="Times New Roman"/>
          <w:b w:val="false"/>
          <w:i w:val="false"/>
          <w:color w:val="000000"/>
          <w:sz w:val="22"/>
        </w:rPr>
        <w:t>The authority may delegate certain administrative functions of the program to service providers who have entered into an agreement with the authority to provide such services. Functions that may be delegated pursuant to this rule include but are not limited to initial application review, tracking and monitoring of the applicant’s progress, tracking and monitoring of contract terms and conditions, and provision of technical assistance to applicants. The authority will retain, and not delegate, any other function not delegated to a service provider pursuant to any agreement entered into between the authority and a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15.108(9)</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ARC 6978C</w:t>
      </w:r>
      <w:r>
        <w:rPr>
          <w:rFonts w:ascii="Times New Roman" w:hAnsi="Times New Roman"/>
          <w:b w:val="false"/>
          <w:i w:val="false"/>
          <w:color w:val="000000"/>
          <w:sz w:val="21"/>
        </w:rPr>
        <w:t xml:space="preserve"> (Notice ARC 6833C, IAB 1/25/23)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