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w:t>
      </w:r>
    </w:p>
    <w:p>
      <w:pPr>
        <w:spacing w:before="0" w:after="0"/>
        <w:ind w:left="120"/>
        <w:jc w:val="center"/>
      </w:pPr>
      <w:r>
        <w:rPr>
          <w:rFonts w:ascii="Times New Roman" w:hAnsi="Times New Roman"/>
          <w:b w:val="false"/>
          <w:i w:val="false"/>
          <w:color w:val="000000"/>
          <w:sz w:val="21"/>
        </w:rPr>
        <w:t>ENTREPRENEUR INVESTMENT AWARDS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261—102.1</w:t>
      </w:r>
      <w:r>
        <w:rPr>
          <w:rFonts w:ascii="Times New Roman" w:hAnsi="Times New Roman"/>
          <w:b/>
          <w:i w:val="false"/>
          <w:color w:val="000000"/>
          <w:sz w:val="22"/>
        </w:rPr>
        <w:t xml:space="preserve">(15E) </w:t>
      </w:r>
      <w:r>
        <w:rPr>
          <w:rFonts w:ascii="Times New Roman" w:hAnsi="Times New Roman"/>
          <w:b/>
          <w:i w:val="false"/>
          <w:color w:val="000000"/>
          <w:sz w:val="22"/>
        </w:rPr>
        <w:t xml:space="preserve">Purpose and funding. </w:t>
      </w:r>
      <w:r>
        <w:rPr>
          <w:rFonts w:ascii="Times New Roman" w:hAnsi="Times New Roman"/>
          <w:b w:val="false"/>
          <w:i w:val="false"/>
          <w:color w:val="000000"/>
          <w:sz w:val="22"/>
        </w:rPr>
        <w:t xml:space="preserve">The entrepreneur investment awards program supports providers of technical and financial assistance to entrepreneurs and start-up companies seeking to create, locate, or expand a business in the state. Moneys for financial assistance under the program will be awarded from the moneys in the entrepreneur investment awards program fund created pursuant to Iowa Code section </w:t>
      </w:r>
      <w:hyperlink r:id="rId5">
        <w:r>
          <w:rPr>
            <w:rStyle w:val="Hyperlink"/>
            <w:rFonts w:ascii="Times New Roman" w:hAnsi="Times New Roman"/>
            <w:b w:val="false"/>
            <w:i w:val="false"/>
            <w:color w:val="000000"/>
            <w:sz w:val="22"/>
          </w:rPr>
          <w:t>15E.363</w:t>
        </w:r>
      </w:hyperlink>
      <w:r>
        <w:rPr>
          <w:rFonts w:ascii="Times New Roman" w:hAnsi="Times New Roman"/>
          <w:b w:val="false"/>
          <w:i w:val="false"/>
          <w:color w:val="000000"/>
          <w:sz w:val="22"/>
        </w:rPr>
        <w:t xml:space="preserve">. The amount deposited in the fund each year depends on the amount allocated for such purposes pursuant to Iowa Code section </w:t>
      </w:r>
      <w:hyperlink r:id="rId6">
        <w:r>
          <w:rPr>
            <w:rStyle w:val="Hyperlink"/>
            <w:rFonts w:ascii="Times New Roman" w:hAnsi="Times New Roman"/>
            <w:b w:val="false"/>
            <w:i w:val="false"/>
            <w:color w:val="000000"/>
            <w:sz w:val="22"/>
          </w:rPr>
          <w:t>15.335B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8451C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261—102.2</w:t>
      </w:r>
      <w:r>
        <w:rPr>
          <w:rFonts w:ascii="Times New Roman" w:hAnsi="Times New Roman"/>
          <w:b/>
          <w:i w:val="false"/>
          <w:color w:val="000000"/>
          <w:sz w:val="22"/>
        </w:rPr>
        <w:t xml:space="preserve">(15E)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provider applying to the authority for financial assistance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development services”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15E.362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a committee of application reviewers appointed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“Deliverables” </w:t>
      </w:r>
      <w:r>
        <w:rPr>
          <w:rFonts w:ascii="Times New Roman" w:hAnsi="Times New Roman"/>
          <w:b w:val="false"/>
          <w:i w:val="false"/>
          <w:color w:val="000000"/>
          <w:sz w:val="22"/>
        </w:rPr>
        <w:t xml:space="preserve">means the performance of duties or other obligations required for the receipt of financial assistance under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15.327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15E.362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 xml:space="preserve">means an “eligible entrepreneurial assistance provider” as defined in Iowa Code section </w:t>
      </w:r>
      <w:hyperlink r:id="rId13">
        <w:r>
          <w:rPr>
            <w:rStyle w:val="Hyperlink"/>
            <w:rFonts w:ascii="Times New Roman" w:hAnsi="Times New Roman"/>
            <w:b w:val="false"/>
            <w:i w:val="false"/>
            <w:color w:val="000000"/>
            <w:sz w:val="22"/>
          </w:rPr>
          <w:t>15E.362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8451C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261—102.3</w:t>
      </w:r>
      <w:r>
        <w:rPr>
          <w:rFonts w:ascii="Times New Roman" w:hAnsi="Times New Roman"/>
          <w:b/>
          <w:i w:val="false"/>
          <w:color w:val="000000"/>
          <w:sz w:val="22"/>
        </w:rPr>
        <w:t xml:space="preserve">(15E) </w:t>
      </w:r>
      <w:r>
        <w:rPr>
          <w:rFonts w:ascii="Times New Roman" w:hAnsi="Times New Roman"/>
          <w:b/>
          <w:i w:val="false"/>
          <w:color w:val="000000"/>
          <w:sz w:val="22"/>
        </w:rPr>
        <w:t xml:space="preserve">Application procedures. </w:t>
      </w:r>
      <w:r>
        <w:rPr>
          <w:rFonts w:ascii="Times New Roman" w:hAnsi="Times New Roman"/>
          <w:b w:val="false"/>
          <w:i w:val="false"/>
          <w:color w:val="000000"/>
          <w:sz w:val="22"/>
        </w:rPr>
        <w:t xml:space="preserve">Providers may be invited to submit applications to the authority. The authority will review applications to confirm program eligibility pursuant to Iowa Code section </w:t>
      </w:r>
      <w:hyperlink r:id="rId14">
        <w:r>
          <w:rPr>
            <w:rStyle w:val="Hyperlink"/>
            <w:rFonts w:ascii="Times New Roman" w:hAnsi="Times New Roman"/>
            <w:b w:val="false"/>
            <w:i w:val="false"/>
            <w:color w:val="000000"/>
            <w:sz w:val="22"/>
          </w:rPr>
          <w:t>15E.362(3)</w:t>
        </w:r>
      </w:hyperlink>
      <w:r>
        <w:rPr>
          <w:rFonts w:ascii="Times New Roman" w:hAnsi="Times New Roman"/>
          <w:b w:val="false"/>
          <w:i w:val="false"/>
          <w:color w:val="000000"/>
          <w:sz w:val="22"/>
        </w:rPr>
        <w:t xml:space="preserve">. Eligible applications will be sent to the committee to develop a recommendation on funding pursuant to rule </w:t>
      </w:r>
      <w:hyperlink r:id="rId15">
        <w:r>
          <w:rPr>
            <w:rStyle w:val="Hyperlink"/>
            <w:rFonts w:ascii="Times New Roman" w:hAnsi="Times New Roman"/>
            <w:b w:val="false"/>
            <w:i w:val="false"/>
            <w:color w:val="000000"/>
            <w:sz w:val="22"/>
          </w:rPr>
          <w:t>261—102.4</w:t>
        </w:r>
      </w:hyperlink>
      <w:r>
        <w:rPr>
          <w:rFonts w:ascii="Times New Roman" w:hAnsi="Times New Roman"/>
          <w:b w:val="false"/>
          <w:i w:val="false"/>
          <w:color w:val="000000"/>
          <w:sz w:val="22"/>
        </w:rPr>
        <w:t xml:space="preserve">(15E). The committee will provide its recommendation to the board for a final determination on funding. The amount of financial assistance awarded to a provider is within the discretion of the authority as determined by the board.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8451C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261—102.4</w:t>
      </w:r>
      <w:r>
        <w:rPr>
          <w:rFonts w:ascii="Times New Roman" w:hAnsi="Times New Roman"/>
          <w:b/>
          <w:i w:val="false"/>
          <w:color w:val="000000"/>
          <w:sz w:val="22"/>
        </w:rPr>
        <w:t xml:space="preserve">(15E) </w:t>
      </w:r>
      <w:r>
        <w:rPr>
          <w:rFonts w:ascii="Times New Roman" w:hAnsi="Times New Roman"/>
          <w:b/>
          <w:i w:val="false"/>
          <w:color w:val="000000"/>
          <w:sz w:val="22"/>
        </w:rPr>
        <w:t xml:space="preserve">Evaluation and recommendation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To be eligible for financial assistance under the program, an applicant must meet all the requirements in Iowa Code section </w:t>
      </w:r>
      <w:hyperlink r:id="rId16">
        <w:r>
          <w:rPr>
            <w:rStyle w:val="Hyperlink"/>
            <w:rFonts w:ascii="Times New Roman" w:hAnsi="Times New Roman"/>
            <w:b w:val="false"/>
            <w:i w:val="false"/>
            <w:color w:val="000000"/>
            <w:sz w:val="22"/>
          </w:rPr>
          <w:t>15E.362(3)</w:t>
        </w:r>
      </w:hyperlink>
      <w:r>
        <w:rPr>
          <w:rFonts w:ascii="Times New Roman" w:hAnsi="Times New Roman"/>
          <w:b w:val="false"/>
          <w:i w:val="false"/>
          <w:color w:val="000000"/>
          <w:sz w:val="22"/>
        </w:rPr>
        <w:t>, in addition to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have its principal place of operations in the state of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must be actively providing business development services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102.4(2)</w:t>
      </w:r>
      <w:r>
        <w:rPr>
          <w:rFonts w:ascii="Times New Roman" w:hAnsi="Times New Roman"/>
          <w:b w:val="false"/>
          <w:i w:val="false"/>
          <w:color w:val="000000"/>
          <w:sz w:val="22"/>
        </w:rPr>
        <w:t> </w:t>
      </w:r>
      <w:r>
        <w:rPr>
          <w:rFonts w:ascii="Times New Roman" w:hAnsi="Times New Roman"/>
          <w:b w:val="false"/>
          <w:i/>
          <w:color w:val="000000"/>
          <w:sz w:val="22"/>
        </w:rPr>
        <w:t xml:space="preserve">Competitive scoring criteria. </w:t>
      </w:r>
      <w:r>
        <w:rPr>
          <w:rFonts w:ascii="Times New Roman" w:hAnsi="Times New Roman"/>
          <w:b w:val="false"/>
          <w:i w:val="false"/>
          <w:color w:val="000000"/>
          <w:sz w:val="22"/>
        </w:rPr>
        <w:t xml:space="preserve">In addition to the considerations identified in Iowa Code section </w:t>
      </w:r>
      <w:hyperlink r:id="rId17">
        <w:r>
          <w:rPr>
            <w:rStyle w:val="Hyperlink"/>
            <w:rFonts w:ascii="Times New Roman" w:hAnsi="Times New Roman"/>
            <w:b w:val="false"/>
            <w:i w:val="false"/>
            <w:color w:val="000000"/>
            <w:sz w:val="22"/>
          </w:rPr>
          <w:t>15E.362(8)</w:t>
        </w:r>
      </w:hyperlink>
      <w:r>
        <w:rPr>
          <w:rFonts w:ascii="Times New Roman" w:hAnsi="Times New Roman"/>
          <w:b w:val="false"/>
          <w:i w:val="false"/>
          <w:color w:val="000000"/>
          <w:sz w:val="22"/>
        </w:rPr>
        <w:t>, the committee will develop its recommendations for funding based on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applicant’s project addresses an unmet need of entrepreneurs in the state of Iowa;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applicant has identified adequate resources to sustain the applicant’s project following the provision of financial assistance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102.4(3)</w:t>
      </w:r>
      <w:r>
        <w:rPr>
          <w:rFonts w:ascii="Times New Roman" w:hAnsi="Times New Roman"/>
          <w:b w:val="false"/>
          <w:i w:val="false"/>
          <w:color w:val="000000"/>
          <w:sz w:val="22"/>
        </w:rPr>
        <w:t> </w:t>
      </w:r>
      <w:r>
        <w:rPr>
          <w:rFonts w:ascii="Times New Roman" w:hAnsi="Times New Roman"/>
          <w:b w:val="false"/>
          <w:i/>
          <w:color w:val="000000"/>
          <w:sz w:val="22"/>
        </w:rPr>
        <w:t xml:space="preserve">Committee recommendation. </w:t>
      </w:r>
      <w:r>
        <w:rPr>
          <w:rFonts w:ascii="Times New Roman" w:hAnsi="Times New Roman"/>
          <w:b w:val="false"/>
          <w:i w:val="false"/>
          <w:color w:val="000000"/>
          <w:sz w:val="22"/>
        </w:rPr>
        <w:t>The evaluation and recommendation of the committee will be summarized in a report to the board for the board’s use in making a final determination. The committee may recommend applicable terms and conditions of financial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8451C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261—102.5</w:t>
      </w:r>
      <w:r>
        <w:rPr>
          <w:rFonts w:ascii="Times New Roman" w:hAnsi="Times New Roman"/>
          <w:b/>
          <w:i w:val="false"/>
          <w:color w:val="000000"/>
          <w:sz w:val="22"/>
        </w:rPr>
        <w:t xml:space="preserve">(15E) </w:t>
      </w:r>
      <w:r>
        <w:rPr>
          <w:rFonts w:ascii="Times New Roman" w:hAnsi="Times New Roman"/>
          <w:b/>
          <w:i w:val="false"/>
          <w:color w:val="000000"/>
          <w:sz w:val="22"/>
        </w:rPr>
        <w:t xml:space="preserve">Administration of financial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102.5(1)</w:t>
      </w:r>
      <w:r>
        <w:rPr>
          <w:rFonts w:ascii="Times New Roman" w:hAnsi="Times New Roman"/>
          <w:b w:val="false"/>
          <w:i w:val="false"/>
          <w:color w:val="000000"/>
          <w:sz w:val="22"/>
        </w:rPr>
        <w:t> </w:t>
      </w:r>
      <w:r>
        <w:rPr>
          <w:rFonts w:ascii="Times New Roman" w:hAnsi="Times New Roman"/>
          <w:b w:val="false"/>
          <w:i/>
          <w:color w:val="000000"/>
          <w:sz w:val="22"/>
        </w:rPr>
        <w:t xml:space="preserve">Contract required. </w:t>
      </w:r>
      <w:r>
        <w:rPr>
          <w:rFonts w:ascii="Times New Roman" w:hAnsi="Times New Roman"/>
          <w:b w:val="false"/>
          <w:i w:val="false"/>
          <w:color w:val="000000"/>
          <w:sz w:val="22"/>
        </w:rPr>
        <w:t>An applicant awarded financial assistance under the program shall enter into a contract with the authority for the receipt of such funds. The provider shall maintain all eligibility requirements for the duration of a contract. The contract may include such deliverables and other terms and conditions as the authority deems necessary. The authority will make the final determination as to compliance with the terms of the contract and will make the final determination as to whether and when to disburse funds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102.5(2)</w:t>
      </w:r>
      <w:r>
        <w:rPr>
          <w:rFonts w:ascii="Times New Roman" w:hAnsi="Times New Roman"/>
          <w:b w:val="false"/>
          <w:i w:val="false"/>
          <w:color w:val="000000"/>
          <w:sz w:val="22"/>
        </w:rPr>
        <w:t> </w:t>
      </w:r>
      <w:r>
        <w:rPr>
          <w:rFonts w:ascii="Times New Roman" w:hAnsi="Times New Roman"/>
          <w:b w:val="false"/>
          <w:i/>
          <w:color w:val="000000"/>
          <w:sz w:val="22"/>
        </w:rPr>
        <w:t xml:space="preserve">Use of funds. </w:t>
      </w:r>
      <w:r>
        <w:rPr>
          <w:rFonts w:ascii="Times New Roman" w:hAnsi="Times New Roman"/>
          <w:b w:val="false"/>
          <w:i w:val="false"/>
          <w:color w:val="000000"/>
          <w:sz w:val="22"/>
        </w:rPr>
        <w:t xml:space="preserve">Funds shall be used consistent with the requirements in Iowa Code section </w:t>
      </w:r>
      <w:hyperlink r:id="rId18">
        <w:r>
          <w:rPr>
            <w:rStyle w:val="Hyperlink"/>
            <w:rFonts w:ascii="Times New Roman" w:hAnsi="Times New Roman"/>
            <w:b w:val="false"/>
            <w:i w:val="false"/>
            <w:color w:val="000000"/>
            <w:sz w:val="22"/>
          </w:rPr>
          <w:t>15E.362(9)</w:t>
        </w:r>
      </w:hyperlink>
      <w:r>
        <w:rPr>
          <w:rFonts w:ascii="Times New Roman" w:hAnsi="Times New Roman"/>
          <w:b w:val="false"/>
          <w:i w:val="false"/>
          <w:color w:val="000000"/>
          <w:sz w:val="22"/>
        </w:rPr>
        <w:t xml:space="preserve">. For the purposes of determining whether funds have been used consistent with Iowa Code section </w:t>
      </w:r>
      <w:hyperlink r:id="rId19">
        <w:r>
          <w:rPr>
            <w:rStyle w:val="Hyperlink"/>
            <w:rFonts w:ascii="Times New Roman" w:hAnsi="Times New Roman"/>
            <w:b w:val="false"/>
            <w:i w:val="false"/>
            <w:color w:val="000000"/>
            <w:sz w:val="22"/>
          </w:rPr>
          <w:t>15E.362(9)</w:t>
        </w:r>
      </w:hyperlink>
      <w:r>
        <w:rPr>
          <w:rFonts w:ascii="Times New Roman" w:hAnsi="Times New Roman"/>
          <w:b w:val="false"/>
          <w:i w:val="false"/>
          <w:color w:val="000000"/>
          <w:sz w:val="22"/>
        </w:rPr>
        <w:t>, “operating costs” means the expenses associated with administering a provider’s activities on a day-to-day basis. “Operating costs” includes both fixed costs and variable costs. “Operating costs” does not include expenses associated with nonoperating activities, such as interest expenses, repayment of principal, or moneys invested by the provider in a client’s businesses or in other ventures.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102.5(3)</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An applicant receiving assistance under the program shall submit any information reasonably requested by the authority in sufficient detail to permit the authority to prepare any reports required by the authority, the board, the general assembly or the governor’s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8451C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0">
        <w:r>
          <w:rPr>
            <w:rStyle w:val="Hyperlink"/>
            <w:rFonts w:ascii="Times New Roman" w:hAnsi="Times New Roman"/>
            <w:b w:val="false"/>
            <w:i w:val="false"/>
            <w:color w:val="000000"/>
            <w:sz w:val="22"/>
          </w:rPr>
          <w:t>15E.362</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15E.363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0611C</w:t>
      </w:r>
      <w:r>
        <w:rPr>
          <w:rFonts w:ascii="Times New Roman" w:hAnsi="Times New Roman"/>
          <w:b w:val="false"/>
          <w:i w:val="false"/>
          <w:color w:val="000000"/>
          <w:sz w:val="21"/>
        </w:rPr>
        <w:t xml:space="preserve"> (Notice ARC 0408C, IAB 10/17/12)</w:t>
      </w:r>
      <w:r>
        <w:rPr>
          <w:rFonts w:ascii="Times New Roman" w:hAnsi="Times New Roman"/>
          <w:b w:val="false"/>
          <w:i w:val="false"/>
          <w:color w:val="000000"/>
          <w:sz w:val="21"/>
        </w:rPr>
        <w:t>, IAB 2/20/13, effective 3/27/13]</w:t>
      </w:r>
    </w:p>
    <w:p>
      <w:pPr>
        <w:spacing w:before="0" w:after="0"/>
        <w:ind w:left="120"/>
        <w:jc w:val="center"/>
      </w:pPr>
      <w:r>
        <w:rPr>
          <w:rFonts w:ascii="Times New Roman" w:hAnsi="Times New Roman"/>
          <w:b w:val="false"/>
          <w:i w:val="false"/>
          <w:color w:val="000000"/>
          <w:sz w:val="21"/>
        </w:rPr>
        <w:t>[Filed ARC 2501C</w:t>
      </w:r>
      <w:r>
        <w:rPr>
          <w:rFonts w:ascii="Times New Roman" w:hAnsi="Times New Roman"/>
          <w:b w:val="false"/>
          <w:i w:val="false"/>
          <w:color w:val="000000"/>
          <w:sz w:val="21"/>
        </w:rPr>
        <w:t xml:space="preserve"> (Notice ARC 2374C, IAB 1/20/16)</w:t>
      </w:r>
      <w:r>
        <w:rPr>
          <w:rFonts w:ascii="Times New Roman" w:hAnsi="Times New Roman"/>
          <w:b w:val="false"/>
          <w:i w:val="false"/>
          <w:color w:val="000000"/>
          <w:sz w:val="21"/>
        </w:rPr>
        <w:t>, IAB 4/27/16, effective 6/1/16]</w:t>
      </w:r>
    </w:p>
    <w:p>
      <w:pPr>
        <w:spacing w:before="0" w:after="0"/>
        <w:ind w:left="120"/>
        <w:jc w:val="center"/>
      </w:pPr>
      <w:r>
        <w:rPr>
          <w:rFonts w:ascii="Times New Roman" w:hAnsi="Times New Roman"/>
          <w:b w:val="false"/>
          <w:i w:val="false"/>
          <w:color w:val="000000"/>
          <w:sz w:val="21"/>
        </w:rPr>
        <w:t>[Filed ARC 5513C</w:t>
      </w:r>
      <w:r>
        <w:rPr>
          <w:rFonts w:ascii="Times New Roman" w:hAnsi="Times New Roman"/>
          <w:b w:val="false"/>
          <w:i w:val="false"/>
          <w:color w:val="000000"/>
          <w:sz w:val="21"/>
        </w:rPr>
        <w:t xml:space="preserve"> (Notice ARC 5386C, IAB 1/13/21)</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8451C</w:t>
      </w:r>
      <w:r>
        <w:rPr>
          <w:rFonts w:ascii="Times New Roman" w:hAnsi="Times New Roman"/>
          <w:b w:val="false"/>
          <w:i w:val="false"/>
          <w:color w:val="000000"/>
          <w:sz w:val="21"/>
        </w:rPr>
        <w:t xml:space="preserve"> (Notice ARC 8224C, IAB 9/18/24)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E.363.pdf" Type="http://schemas.openxmlformats.org/officeDocument/2006/relationships/hyperlink" Id="rId5"/>
    <Relationship TargetMode="External" Target="https://www.legis.iowa.gov/docs/ico/chapter/15.335B.pdf" Type="http://schemas.openxmlformats.org/officeDocument/2006/relationships/hyperlink" Id="rId6"/>
    <Relationship TargetMode="External" Target="https://www.legis.iowa.gov/docs/ico/chapter/15.102.pdf" Type="http://schemas.openxmlformats.org/officeDocument/2006/relationships/hyperlink" Id="rId7"/>
    <Relationship TargetMode="External" Target="https://www.legis.iowa.gov/docs/ico/chapter/15.102.pdf" Type="http://schemas.openxmlformats.org/officeDocument/2006/relationships/hyperlink" Id="rId8"/>
    <Relationship TargetMode="External" Target="https://www.legis.iowa.gov/docs/ico/chapter/15E.362.pdf" Type="http://schemas.openxmlformats.org/officeDocument/2006/relationships/hyperlink" Id="rId9"/>
    <Relationship TargetMode="External" Target="https://www.legis.iowa.gov/docs/ico/chapter/15.102.pdf" Type="http://schemas.openxmlformats.org/officeDocument/2006/relationships/hyperlink" Id="rId10"/>
    <Relationship TargetMode="External" Target="https://www.legis.iowa.gov/docs/ico/chapter/15.327.pdf" Type="http://schemas.openxmlformats.org/officeDocument/2006/relationships/hyperlink" Id="rId11"/>
    <Relationship TargetMode="External" Target="https://www.legis.iowa.gov/docs/ico/chapter/15E.362.pdf" Type="http://schemas.openxmlformats.org/officeDocument/2006/relationships/hyperlink" Id="rId12"/>
    <Relationship TargetMode="External" Target="https://www.legis.iowa.gov/docs/ico/chapter/15E.362.pdf" Type="http://schemas.openxmlformats.org/officeDocument/2006/relationships/hyperlink" Id="rId13"/>
    <Relationship TargetMode="External" Target="https://www.legis.iowa.gov/docs/ico/chapter/15E.362.pdf" Type="http://schemas.openxmlformats.org/officeDocument/2006/relationships/hyperlink" Id="rId14"/>
    <Relationship TargetMode="External" Target="https://www.legis.iowa.gov/docs/iac/rule/261.102.4.pdf" Type="http://schemas.openxmlformats.org/officeDocument/2006/relationships/hyperlink" Id="rId15"/>
    <Relationship TargetMode="External" Target="https://www.legis.iowa.gov/docs/ico/chapter/15E.362.pdf" Type="http://schemas.openxmlformats.org/officeDocument/2006/relationships/hyperlink" Id="rId16"/>
    <Relationship TargetMode="External" Target="https://www.legis.iowa.gov/docs/ico/chapter/15E.362.pdf" Type="http://schemas.openxmlformats.org/officeDocument/2006/relationships/hyperlink" Id="rId17"/>
    <Relationship TargetMode="External" Target="https://www.legis.iowa.gov/docs/ico/chapter/15E.362.pdf" Type="http://schemas.openxmlformats.org/officeDocument/2006/relationships/hyperlink" Id="rId18"/>
    <Relationship TargetMode="External" Target="https://www.legis.iowa.gov/docs/ico/chapter/15E.362.pdf" Type="http://schemas.openxmlformats.org/officeDocument/2006/relationships/hyperlink" Id="rId19"/>
    <Relationship TargetMode="External" Target="https://www.legis.iowa.gov/docs/ico/chapter/15E.362.pdf" Type="http://schemas.openxmlformats.org/officeDocument/2006/relationships/hyperlink" Id="rId20"/>
    <Relationship TargetMode="External" Target="https://www.legis.iowa.gov/docs/ico/chapter/15E.363.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