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261—1.1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opportunityiowa.gov</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a committee established by the board and includes any standing committees established by rule or ad hoc committees established pursuant to Iowa Code section </w:t>
      </w:r>
      <w:hyperlink r:id="rId8">
        <w:r>
          <w:rPr>
            <w:rStyle w:val="Hyperlink"/>
            <w:rFonts w:ascii="Times New Roman" w:hAnsi="Times New Roman"/>
            <w:b w:val="false"/>
            <w:i w:val="false"/>
            <w:color w:val="000000"/>
            <w:sz w:val="22"/>
          </w:rPr>
          <w:t>15.105(12)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9995C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261—1.2</w:t>
      </w:r>
      <w:r>
        <w:rPr>
          <w:rFonts w:ascii="Times New Roman" w:hAnsi="Times New Roman"/>
          <w:b/>
          <w:i w:val="false"/>
          <w:color w:val="000000"/>
          <w:sz w:val="22"/>
        </w:rPr>
        <w:t xml:space="preserve">(15) </w:t>
      </w:r>
      <w:r>
        <w:rPr>
          <w:rFonts w:ascii="Times New Roman" w:hAnsi="Times New Roman"/>
          <w:b/>
          <w:i w:val="false"/>
          <w:color w:val="000000"/>
          <w:sz w:val="22"/>
        </w:rPr>
        <w:t xml:space="preserve">Economic development authority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generally meets monthly at the authority’s offices. By notice of the regularly published meeting agendas, the board and its committees may hold regular or special meetings at other locations within the state. Meeting agendas are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may exclude any person disrupting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Board treasurer. </w:t>
      </w:r>
      <w:r>
        <w:rPr>
          <w:rFonts w:ascii="Times New Roman" w:hAnsi="Times New Roman"/>
          <w:b w:val="false"/>
          <w:i w:val="false"/>
          <w:color w:val="000000"/>
          <w:sz w:val="22"/>
        </w:rPr>
        <w:t>The accounting director for the authority or the accounting director’s designee serves as the treasurer to the board.  The treasurer shall attend audit entrance and exit interviews conducted by the auditor of state and shall report the results of such audits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Committees.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due diligence committee is established to assist the board in making awards of incentives and assistance under the authority’s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due diligence committee is an advisory body comprised of voting members of the board who are selected annually by the voting members of the board. The membership and size of the committee and the terms of committee members will be established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of the due diligence committee will elect members to serve as chairperson and vice chairperson. The chairperson may appoint members of the due diligence committee to serve on a due diligence subcommittee if necessary. Such a subcommittee is advisory only and may perform such duties as may be assigned by the chairperson and members of the due diligence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duties of the due diligence committee may include reviewing applications for financial assistance, conducting a thorough review of proposed projects, making recommendations to the board regarding the size and conditions of awards, and any other duty assigned by the board in relation to the programs administered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committee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Technology commercialization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technology commercialization committee is established pursuant to Iowa Code section </w:t>
      </w:r>
      <w:hyperlink r:id="rId10">
        <w:r>
          <w:rPr>
            <w:rStyle w:val="Hyperlink"/>
            <w:rFonts w:ascii="Times New Roman" w:hAnsi="Times New Roman"/>
            <w:b w:val="false"/>
            <w:i w:val="false"/>
            <w:color w:val="000000"/>
            <w:sz w:val="22"/>
          </w:rPr>
          <w:t>15.116</w:t>
        </w:r>
      </w:hyperlink>
      <w:r>
        <w:rPr>
          <w:rFonts w:ascii="Times New Roman" w:hAnsi="Times New Roman"/>
          <w:b w:val="false"/>
          <w:i w:val="false"/>
          <w:color w:val="000000"/>
          <w:sz w:val="22"/>
        </w:rPr>
        <w:t>. The membership and size of the committee and the terms of committee members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will appoint a member to serve as chairperson. The chairperson may appoint members of the technology commercialization committee to serve on a technology commercialization subcommittee if necessary. Such a subcommittee is advisory only and may perform such duties as may be assigned by the chairperson and members of the technology commercialization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duties of the technology commercialization committee may include reviewing applications for financial assistance, conducting a thorough review of proposed projects, making recommendations to the board regarding the size and conditions of awards, and any other duty assigned by the board in relation to the programs administered by the authority to the extent such programs relate to the areas and industry sectors identified in Iowa Code section </w:t>
      </w:r>
      <w:hyperlink r:id="rId11">
        <w:r>
          <w:rPr>
            <w:rStyle w:val="Hyperlink"/>
            <w:rFonts w:ascii="Times New Roman" w:hAnsi="Times New Roman"/>
            <w:b w:val="false"/>
            <w:i w:val="false"/>
            <w:color w:val="000000"/>
            <w:sz w:val="22"/>
          </w:rPr>
          <w:t>15.116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majority of committee members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appoint ad hoc committees to serve in an advisory capacity to the authority whenever the director deems them necessary to accomplish the work of the authority. The size of such committees and the terms of committee members will be established by the director. Such committees may be dissolved as deemed appropriate by the director, and other committees may from time to time be established for specific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9995C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261—1.3</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structure.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authority’s organizational structure consists of the board, the director and such divisions as the director may from time to time create.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Chief designee. </w:t>
      </w:r>
      <w:r>
        <w:rPr>
          <w:rFonts w:ascii="Times New Roman" w:hAnsi="Times New Roman"/>
          <w:b w:val="false"/>
          <w:i w:val="false"/>
          <w:color w:val="000000"/>
          <w:sz w:val="22"/>
        </w:rPr>
        <w:t>The director may designate an employee to administer the authority in the director’s absence. Such employee may bear the title of deputy director, chief operating officer, chief of staff, or other similar title as long as the director has executed an instrument clearly delegating the director’s authority to that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Signature authority. </w:t>
      </w:r>
      <w:r>
        <w:rPr>
          <w:rFonts w:ascii="Times New Roman" w:hAnsi="Times New Roman"/>
          <w:b w:val="false"/>
          <w:i w:val="false"/>
          <w:color w:val="000000"/>
          <w:sz w:val="22"/>
        </w:rPr>
        <w:t>The director may authorize one or more employees to execute and deliver on behalf of the authority any agreement, document, or instrument as such employee may deem necessary or appropriate to implement and carry out the intent and purpose of any statute or administrative rule by which the authority is bound other than those statutes or administrative rules requiring a person holding a specified office to sign, if any, as long as the director has executed an instrument clearly delegating such authority to such employee or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9995C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261—1.4</w:t>
      </w:r>
      <w:r>
        <w:rPr>
          <w:rFonts w:ascii="Times New Roman" w:hAnsi="Times New Roman"/>
          <w:b/>
          <w:i w:val="false"/>
          <w:color w:val="000000"/>
          <w:sz w:val="22"/>
        </w:rPr>
        <w:t xml:space="preserve">(15) </w:t>
      </w:r>
      <w:r>
        <w:rPr>
          <w:rFonts w:ascii="Times New Roman" w:hAnsi="Times New Roman"/>
          <w:b/>
          <w:i w:val="false"/>
          <w:color w:val="000000"/>
          <w:sz w:val="22"/>
        </w:rPr>
        <w:t xml:space="preserve">Information. </w:t>
      </w:r>
      <w:r>
        <w:rPr>
          <w:rFonts w:ascii="Times New Roman" w:hAnsi="Times New Roman"/>
          <w:b w:val="false"/>
          <w:i w:val="false"/>
          <w:color w:val="000000"/>
          <w:sz w:val="22"/>
        </w:rPr>
        <w:t>The general public may obtain information about the Iowa economic development authority by contacting the authority at its offices located at 1963 Bell Avenue, Des Moines, Iowa 50315; by telephone at 515.348.6200; or through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9995C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12/19/86—published 1/4/87, effective 12/19/86]</w:t>
      </w:r>
    </w:p>
    <w:p>
      <w:pPr>
        <w:spacing w:before="0" w:after="0"/>
        <w:ind w:left="120"/>
        <w:jc w:val="center"/>
      </w:pPr>
      <w:r>
        <w:rPr>
          <w:rFonts w:ascii="Times New Roman" w:hAnsi="Times New Roman"/>
          <w:b w:val="false"/>
          <w:i w:val="false"/>
          <w:color w:val="000000"/>
          <w:sz w:val="21"/>
        </w:rPr>
        <w:t>[Filed emergency 6/10/88—published 6/29/88, effective 7/1/88]</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1/22/99, Notice 9/9/98—published 2/10/99, effective 3/17/99]</w:t>
      </w:r>
    </w:p>
    <w:p>
      <w:pPr>
        <w:spacing w:before="0" w:after="0"/>
        <w:ind w:left="120"/>
        <w:jc w:val="center"/>
      </w:pPr>
      <w:r>
        <w:rPr>
          <w:rFonts w:ascii="Times New Roman" w:hAnsi="Times New Roman"/>
          <w:b w:val="false"/>
          <w:i w:val="false"/>
          <w:color w:val="000000"/>
          <w:sz w:val="21"/>
        </w:rPr>
        <w:t>[Filed 6/20/03, Notice 5/14/03—published 7/9/03, effective 8/13/03]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[Filed 2/22/08, Notice 12/19/07—published 3/12/08, effective 4/16/08]</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0441C</w:t>
      </w:r>
      <w:r>
        <w:rPr>
          <w:rFonts w:ascii="Times New Roman" w:hAnsi="Times New Roman"/>
          <w:b w:val="false"/>
          <w:i w:val="false"/>
          <w:color w:val="000000"/>
          <w:sz w:val="21"/>
        </w:rPr>
        <w:t xml:space="preserve"> (Notice ARC 0279C,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6356C</w:t>
      </w:r>
      <w:r>
        <w:rPr>
          <w:rFonts w:ascii="Times New Roman" w:hAnsi="Times New Roman"/>
          <w:b w:val="false"/>
          <w:i w:val="false"/>
          <w:color w:val="000000"/>
          <w:sz w:val="21"/>
        </w:rPr>
        <w:t xml:space="preserve"> (Notice ARC 6243C,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9995C</w:t>
      </w:r>
      <w:r>
        <w:rPr>
          <w:rFonts w:ascii="Times New Roman" w:hAnsi="Times New Roman"/>
          <w:b w:val="false"/>
          <w:i w:val="false"/>
          <w:color w:val="000000"/>
          <w:sz w:val="21"/>
        </w:rPr>
        <w:t xml:space="preserve"> (Notice ARC 9540C, IAB 9/17/25)</w:t>
      </w:r>
      <w:r>
        <w:rPr>
          <w:rFonts w:ascii="Times New Roman" w:hAnsi="Times New Roman"/>
          <w:b w:val="false"/>
          <w:i w:val="false"/>
          <w:color w:val="000000"/>
          <w:sz w:val="21"/>
        </w:rPr>
        <w:t>, IAB 1/21/26, effective 2/25/26]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opportunityiowa.gov"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116.pdf" Type="http://schemas.openxmlformats.org/officeDocument/2006/relationships/hyperlink" Id="rId10"/>
    <Relationship TargetMode="External" Target="https://www.legis.iowa.gov/docs/ico/chapter/15.116.pdf" Type="http://schemas.openxmlformats.org/officeDocument/2006/relationships/hyperlink" Id="rId11"/>
    <Relationship TargetMode="External" Target="https://www.legis.iowa.gov/docs/ico/chapter/1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