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HISTORIC SITE PRESERVATION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223—50.1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historic site preservation grant program is to provide matching grants to nonprofit organizations, governmental bodies, and Indian tribes for the restoration, preservation, and development of historical sites.</w:t>
      </w:r>
    </w:p>
    <w:p>
      <w:pPr>
        <w:spacing w:before="0" w:after="0"/>
        <w:ind w:left="120"/>
        <w:jc w:val="both"/>
      </w:pPr>
      <w:r>
        <w:rPr>
          <w:rFonts w:ascii="Times New Roman" w:hAnsi="Times New Roman"/>
          <w:b w:val="false"/>
          <w:i w:val="false"/>
          <w:color w:val="000000"/>
          <w:sz w:val="22"/>
        </w:rPr>
        <w:t>The state historical society of Iowa, the historical division of the Iowa department of cultural affairs, shall administer the historic site preservation grant program.</w:t>
      </w:r>
    </w:p>
    <w:p>
      <w:pPr>
        <w:spacing w:before="0" w:after="0"/>
        <w:ind w:left="120"/>
        <w:jc w:val="both"/>
      </w:pPr>
      <w:r>
        <w:rPr>
          <w:rFonts w:ascii="Times New Roman" w:hAnsi="Times New Roman"/>
          <w:b/>
          <w:i w:val="false"/>
          <w:color w:val="000000"/>
          <w:sz w:val="22"/>
        </w:rPr>
        <w:t>223—50.2</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state historical society of Iowa,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threat to a historical resource that is not the result of delinquency by the current owner and that requires timely action to prevent immediate loss of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site, structure, building, or object such as a sculpture or monument.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 site” </w:t>
      </w:r>
      <w:r>
        <w:rPr>
          <w:rFonts w:ascii="Times New Roman" w:hAnsi="Times New Roman"/>
          <w:b w:val="false"/>
          <w:i w:val="false"/>
          <w:color w:val="000000"/>
          <w:sz w:val="22"/>
        </w:rPr>
        <w:t>means a property that is listed or declared eligible by the state historic preservation officer for listing on the National Register of Historic Places, or a facility in which Iowa’s history or the heritage of Iowa’s people is interpreted. Historical sites shall relate to the human occupation of Iowa, but may be of prehistoric or historic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“Indian tribe” </w:t>
      </w:r>
      <w:r>
        <w:rPr>
          <w:rFonts w:ascii="Times New Roman" w:hAnsi="Times New Roman"/>
          <w:b w:val="false"/>
          <w:i w:val="false"/>
          <w:color w:val="000000"/>
          <w:sz w:val="22"/>
        </w:rPr>
        <w:t>means any tribe, band, nation, or other organized group or community of Indians that is recognized as eligible for the special programs and services provided by the United States to Indians because of their status as Indians.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 xml:space="preserve">is defined in Iowa Code section </w:t>
      </w:r>
      <w:hyperlink r:id="rId5">
        <w:r>
          <w:rPr>
            <w:rStyle w:val="Hyperlink"/>
            <w:rFonts w:ascii="Times New Roman" w:hAnsi="Times New Roman"/>
            <w:b w:val="false"/>
            <w:i w:val="false"/>
            <w:color w:val="000000"/>
            <w:sz w:val="22"/>
          </w:rPr>
          <w:t>8.57</w:t>
        </w:r>
      </w:hyperlink>
      <w:r>
        <w:rPr>
          <w:rFonts w:ascii="Times New Roman" w:hAnsi="Times New Roman"/>
          <w:b w:val="false"/>
          <w:i w:val="false"/>
          <w:color w:val="000000"/>
          <w:sz w:val="22"/>
        </w:rPr>
        <w:t>(5c) as “vertical infrastructure” and shall include only land acquisition for construction, major rehabilitation of buildings, all appurtenant structures, utilities, and site developments.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“Society” </w:t>
      </w:r>
      <w:r>
        <w:rPr>
          <w:rFonts w:ascii="Times New Roman" w:hAnsi="Times New Roman"/>
          <w:b w:val="false"/>
          <w:i w:val="false"/>
          <w:color w:val="000000"/>
          <w:sz w:val="22"/>
        </w:rPr>
        <w:t xml:space="preserve">means the state historical society of Iowa, the historical division of the department of cultural affairs, established in Iowa Code section </w:t>
      </w:r>
      <w:hyperlink r:id="rId6">
        <w:r>
          <w:rPr>
            <w:rStyle w:val="Hyperlink"/>
            <w:rFonts w:ascii="Times New Roman" w:hAnsi="Times New Roman"/>
            <w:b w:val="false"/>
            <w:i w:val="false"/>
            <w:color w:val="000000"/>
            <w:sz w:val="22"/>
          </w:rPr>
          <w:t>303.1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223—50.3</w:t>
      </w:r>
      <w:r>
        <w:rPr>
          <w:rFonts w:ascii="Times New Roman" w:hAnsi="Times New Roman"/>
          <w:b/>
          <w:i w:val="false"/>
          <w:color w:val="000000"/>
          <w:sz w:val="22"/>
        </w:rPr>
        <w:t xml:space="preserve">(303)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Grants shall be awarded to any local political subdivisions of the state, state agency, Indian tribe, or nonprofit organization that is duly authorized and charged with responsibilities for construction, maintenance and operation of historical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Grants under this program shall be used for “vertical infrastructure” as defined in Iowa Code section </w:t>
      </w:r>
      <w:hyperlink r:id="rId7">
        <w:r>
          <w:rPr>
            <w:rStyle w:val="Hyperlink"/>
            <w:rFonts w:ascii="Times New Roman" w:hAnsi="Times New Roman"/>
            <w:b w:val="false"/>
            <w:i w:val="false"/>
            <w:color w:val="000000"/>
            <w:sz w:val="22"/>
          </w:rPr>
          <w:t>8.57</w:t>
        </w:r>
      </w:hyperlink>
      <w:r>
        <w:rPr>
          <w:rFonts w:ascii="Times New Roman" w:hAnsi="Times New Roman"/>
          <w:b w:val="false"/>
          <w:i w:val="false"/>
          <w:color w:val="000000"/>
          <w:sz w:val="22"/>
        </w:rPr>
        <w:t>(5c). Applicants shall submit only one grant application per funding cycle. Projects that received designated legislative earmarking of funds in the current fiscal year shall not be eligible for funding through this program. Projects that received funding from this program are ineligible to apply for three years from the date of grant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color w:val="000000"/>
          <w:sz w:val="22"/>
        </w:rPr>
        <w:t xml:space="preserve">Project requirements. </w:t>
      </w:r>
      <w:r>
        <w:rPr>
          <w:rFonts w:ascii="Times New Roman" w:hAnsi="Times New Roman"/>
          <w:b w:val="false"/>
          <w:i w:val="false"/>
          <w:color w:val="000000"/>
          <w:sz w:val="22"/>
        </w:rPr>
        <w:t>When applicable, all project work shall meet the Secretary of the Interior’s Standards and Guidelines for Archaeology and Historic Preservation. All applicants shall submit project information to the society’s community programs bureau for review as part of the application process. Successful applicants shall consult with the society’s historic preservation staff to ensure that the standards are met. Failure to meet the standards shall result in cancellation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Grant applications shall be on forms provided by the society and shall follow all prescribed guidelines. Completed applications shall provide sufficient detail to clearly describe the scope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w:t>
      </w:r>
      <w:r>
        <w:rPr>
          <w:rFonts w:ascii="Times New Roman" w:hAnsi="Times New Roman"/>
          <w:b w:val="false"/>
          <w:i w:val="false"/>
          <w:color w:val="000000"/>
          <w:sz w:val="22"/>
        </w:rPr>
        <w:t> </w:t>
      </w:r>
      <w:r>
        <w:rPr>
          <w:rFonts w:ascii="Times New Roman" w:hAnsi="Times New Roman"/>
          <w:b w:val="false"/>
          <w:i/>
          <w:color w:val="000000"/>
          <w:sz w:val="22"/>
        </w:rPr>
        <w:t xml:space="preserve">Application timing. </w:t>
      </w:r>
      <w:r>
        <w:rPr>
          <w:rFonts w:ascii="Times New Roman" w:hAnsi="Times New Roman"/>
          <w:b w:val="false"/>
          <w:i w:val="false"/>
          <w:color w:val="000000"/>
          <w:sz w:val="22"/>
        </w:rPr>
        <w:t>Grant applications (1 original and 11 copies) shall be received by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the program coordinator’s office at the State Historical Society of Iowa, 600 East Locust, Des Moines, Iowa 50319-0290, on or before the deadline date, or shall have a United States Postal Service postmark, dated on or before the fourteenth day of September.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w:t>
      </w:r>
      <w:r>
        <w:rPr>
          <w:rFonts w:ascii="Times New Roman" w:hAnsi="Times New Roman"/>
          <w:b w:val="false"/>
          <w:i w:val="false"/>
          <w:color w:val="000000"/>
          <w:sz w:val="22"/>
        </w:rPr>
        <w:t> </w:t>
      </w:r>
      <w:r>
        <w:rPr>
          <w:rFonts w:ascii="Times New Roman" w:hAnsi="Times New Roman"/>
          <w:b w:val="false"/>
          <w:i/>
          <w:color w:val="000000"/>
          <w:sz w:val="22"/>
        </w:rPr>
        <w:t xml:space="preserve">Assistance ceiling and cost share. </w:t>
      </w:r>
      <w:r>
        <w:rPr>
          <w:rFonts w:ascii="Times New Roman" w:hAnsi="Times New Roman"/>
          <w:b w:val="false"/>
          <w:i w:val="false"/>
          <w:color w:val="000000"/>
          <w:sz w:val="22"/>
        </w:rPr>
        <w:t>Grants to any individual project shall not exceed $100,000. Project sponsors shall provide cash match at the rate of one dollar for each state grant dollar. An applicant shall certify that it has committed its share of project costs by the time final payment is made. State funds shall not be used as cash match for this program. Indirect costs and staff salaries shall not be used as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w:t>
      </w:r>
      <w:r>
        <w:rPr>
          <w:rFonts w:ascii="Times New Roman" w:hAnsi="Times New Roman"/>
          <w:b w:val="false"/>
          <w:i w:val="false"/>
          <w:color w:val="000000"/>
          <w:sz w:val="22"/>
        </w:rPr>
        <w:t> </w:t>
      </w:r>
      <w:r>
        <w:rPr>
          <w:rFonts w:ascii="Times New Roman" w:hAnsi="Times New Roman"/>
          <w:b w:val="false"/>
          <w:i/>
          <w:color w:val="000000"/>
          <w:sz w:val="22"/>
        </w:rPr>
        <w:t xml:space="preserve">Minimum grant amount. </w:t>
      </w:r>
      <w:r>
        <w:rPr>
          <w:rFonts w:ascii="Times New Roman" w:hAnsi="Times New Roman"/>
          <w:b w:val="false"/>
          <w:i w:val="false"/>
          <w:color w:val="000000"/>
          <w:sz w:val="22"/>
        </w:rPr>
        <w:t>No application requesting less than $40,000 in grant funds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50.3(8)</w:t>
      </w:r>
      <w:r>
        <w:rPr>
          <w:rFonts w:ascii="Times New Roman" w:hAnsi="Times New Roman"/>
          <w:b w:val="false"/>
          <w:i w:val="false"/>
          <w:color w:val="000000"/>
          <w:sz w:val="22"/>
        </w:rPr>
        <w:t> </w:t>
      </w:r>
      <w:r>
        <w:rPr>
          <w:rFonts w:ascii="Times New Roman" w:hAnsi="Times New Roman"/>
          <w:b w:val="false"/>
          <w:i/>
          <w:color w:val="000000"/>
          <w:sz w:val="22"/>
        </w:rPr>
        <w:t xml:space="preserve">Geographic distribution of funds. </w:t>
      </w:r>
      <w:r>
        <w:rPr>
          <w:rFonts w:ascii="Times New Roman" w:hAnsi="Times New Roman"/>
          <w:b w:val="false"/>
          <w:i w:val="false"/>
          <w:color w:val="000000"/>
          <w:sz w:val="22"/>
        </w:rPr>
        <w:t>No more than $200,000 may be awarded in any grant cycle within a single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8234B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223—50.4</w:t>
      </w:r>
      <w:r>
        <w:rPr>
          <w:rFonts w:ascii="Times New Roman" w:hAnsi="Times New Roman"/>
          <w:b/>
          <w:i w:val="false"/>
          <w:color w:val="000000"/>
          <w:sz w:val="22"/>
        </w:rPr>
        <w:t xml:space="preserve">(303) </w:t>
      </w:r>
      <w:r>
        <w:rPr>
          <w:rFonts w:ascii="Times New Roman" w:hAnsi="Times New Roman"/>
          <w:b/>
          <w:i w:val="false"/>
          <w:color w:val="000000"/>
          <w:sz w:val="22"/>
        </w:rPr>
        <w:t xml:space="preserve">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Applications shall be reviewed by society staff to ensure compliance with the program’s administrative rules and guidelines. All applications meeting the requirements shall be forwarded to the review and selection panel. Ineligible applications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color w:val="000000"/>
          <w:sz w:val="22"/>
        </w:rPr>
        <w:t xml:space="preserve">Review panel. </w:t>
      </w:r>
      <w:r>
        <w:rPr>
          <w:rFonts w:ascii="Times New Roman" w:hAnsi="Times New Roman"/>
          <w:b w:val="false"/>
          <w:i w:val="false"/>
          <w:color w:val="000000"/>
          <w:sz w:val="22"/>
        </w:rPr>
        <w:t>A review and selection panel, hereinafter referred to as the review panel, comprised of ten members appointed by the administrator, shall review and evaluate project applications and shall develop funding recommendations to be forwarded to the state historical society board of trustees for approval.</w:t>
      </w:r>
    </w:p>
    <w:p>
      <w:pPr>
        <w:spacing w:before="0" w:after="0"/>
        <w:ind w:left="120"/>
        <w:jc w:val="both"/>
      </w:pPr>
      <w:r>
        <w:rPr>
          <w:rFonts w:ascii="Times New Roman" w:hAnsi="Times New Roman"/>
          <w:b w:val="false"/>
          <w:i w:val="false"/>
          <w:color w:val="000000"/>
          <w:sz w:val="22"/>
        </w:rPr>
        <w:t>The review panel shall be comprised of the following members: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Panel chairperson, appointed by the administrator.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Five citizens, each with a background in archaeology, history, architectural history, architecture, museum studies, Iowa heritage, or a closely related field. Citizens serving on the committee shall be selected from a wide geographic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member of the society’s board of trustees.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One staff representative selected by the administrator of the Iowa division of tourism, Iowa department of economic development.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One staff representative selected by the administrator of the Iowa division of parks, recreation and preserves, Iowa department of natural resources.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One staff representative selected by the administrator of the division of project planning,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color w:val="000000"/>
          <w:sz w:val="22"/>
        </w:rPr>
        <w:t xml:space="preserve">Final review and selection of grants. </w:t>
      </w:r>
      <w:r>
        <w:rPr>
          <w:rFonts w:ascii="Times New Roman" w:hAnsi="Times New Roman"/>
          <w:b w:val="false"/>
          <w:i w:val="false"/>
          <w:color w:val="000000"/>
          <w:sz w:val="22"/>
        </w:rPr>
        <w:t>The society’s board of trustees shall review the recommendations of the review panel and shall make recommendations to the administrator. The administrator shall make final funding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If a project is submitted by an eligible sponsor, one of whose members or employees is on the review panel, that panelist shall not participate in discussion and shall not vote on that particular project.</w:t>
      </w:r>
    </w:p>
    <w:p>
      <w:pPr>
        <w:spacing w:before="0" w:after="0"/>
        <w:ind w:left="120"/>
        <w:jc w:val="both"/>
      </w:pPr>
      <w:r>
        <w:rPr>
          <w:rFonts w:ascii="Times New Roman" w:hAnsi="Times New Roman"/>
          <w:b/>
          <w:i w:val="false"/>
          <w:color w:val="000000"/>
          <w:sz w:val="22"/>
        </w:rPr>
        <w:t>223—50.5</w:t>
      </w:r>
      <w:r>
        <w:rPr>
          <w:rFonts w:ascii="Times New Roman" w:hAnsi="Times New Roman"/>
          <w:b/>
          <w:i w:val="false"/>
          <w:color w:val="000000"/>
          <w:sz w:val="22"/>
        </w:rPr>
        <w:t xml:space="preserve">(303) </w:t>
      </w:r>
      <w:r>
        <w:rPr>
          <w:rFonts w:ascii="Times New Roman" w:hAnsi="Times New Roman"/>
          <w:b/>
          <w:i w:val="false"/>
          <w:color w:val="000000"/>
          <w:sz w:val="22"/>
        </w:rPr>
        <w:t xml:space="preserve">Application rating system. </w:t>
      </w:r>
      <w:r>
        <w:rPr>
          <w:rFonts w:ascii="Times New Roman" w:hAnsi="Times New Roman"/>
          <w:b w:val="false"/>
          <w:i w:val="false"/>
          <w:color w:val="000000"/>
          <w:sz w:val="22"/>
        </w:rPr>
        <w:t>The review panel shall apply a numerical rating system to each grant application that is considered for funding assistance. The criteria, with a weight factor for each,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historical or cultural significance of the project, and the degree to which the project is of regional, state, or national significance (30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quality of the plans to interpret the historical resource (25 percent);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extent to which the project will enhance educational opportunities for a broad and diverse audience (25 percent);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degree to which the budget is reasonable and appropriate to the project (10 percent);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degree to which the applicant demonstrates a commitment to the future viability of the resource by planning for the ongoing operation and maintenance of the project (10 percent).</w:t>
      </w:r>
    </w:p>
    <w:p>
      <w:pPr>
        <w:spacing w:before="0" w:after="0"/>
        <w:ind w:left="120"/>
        <w:jc w:val="both"/>
      </w:pPr>
      <w:r>
        <w:rPr>
          <w:rFonts w:ascii="Times New Roman" w:hAnsi="Times New Roman"/>
          <w:b w:val="false"/>
          <w:i w:val="false"/>
          <w:color w:val="000000"/>
          <w:sz w:val="22"/>
        </w:rPr>
        <w:t>Each criterion shall be given a score from 1 to 10, which is then multiplied by the weight factor.</w:t>
      </w:r>
    </w:p>
    <w:p>
      <w:pPr>
        <w:spacing w:before="0" w:after="0"/>
        <w:ind w:left="120"/>
        <w:jc w:val="both"/>
      </w:pPr>
      <w:r>
        <w:rPr>
          <w:rFonts w:ascii="Times New Roman" w:hAnsi="Times New Roman"/>
          <w:b/>
          <w:i w:val="false"/>
          <w:color w:val="000000"/>
          <w:sz w:val="22"/>
        </w:rPr>
        <w:t>223—50.6</w:t>
      </w:r>
      <w:r>
        <w:rPr>
          <w:rFonts w:ascii="Times New Roman" w:hAnsi="Times New Roman"/>
          <w:b/>
          <w:i w:val="false"/>
          <w:color w:val="000000"/>
          <w:sz w:val="22"/>
        </w:rPr>
        <w:t xml:space="preserve">(303) </w:t>
      </w:r>
      <w:r>
        <w:rPr>
          <w:rFonts w:ascii="Times New Roman" w:hAnsi="Times New Roman"/>
          <w:b/>
          <w:i w:val="false"/>
          <w:color w:val="000000"/>
          <w:sz w:val="22"/>
        </w:rPr>
        <w:t xml:space="preserve">Grant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color w:val="000000"/>
          <w:sz w:val="22"/>
        </w:rPr>
        <w:t xml:space="preserve">Contract agreement. </w:t>
      </w:r>
      <w:r>
        <w:rPr>
          <w:rFonts w:ascii="Times New Roman" w:hAnsi="Times New Roman"/>
          <w:b w:val="false"/>
          <w:i w:val="false"/>
          <w:color w:val="000000"/>
          <w:sz w:val="22"/>
        </w:rPr>
        <w:t>Successful applicants shall enter into a contract agreement with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color w:val="000000"/>
          <w:sz w:val="22"/>
        </w:rPr>
        <w:t xml:space="preserve">Timely commencement of projects. </w:t>
      </w:r>
      <w:r>
        <w:rPr>
          <w:rFonts w:ascii="Times New Roman" w:hAnsi="Times New Roman"/>
          <w:b w:val="false"/>
          <w:i w:val="false"/>
          <w:color w:val="000000"/>
          <w:sz w:val="22"/>
        </w:rPr>
        <w:t>Grant recipients are expected to carry out their projects in an expedient manner. Projects shall be under contract by February 1 in the year following their approval and shall be completed by the date specified in the contractual agreement. Failure to initiate projects in a timely manner may be cause for termination of the agreement and cancellation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color w:val="000000"/>
          <w:sz w:val="22"/>
        </w:rPr>
        <w:t xml:space="preserve">Funding acknowledgement. </w:t>
      </w:r>
      <w:r>
        <w:rPr>
          <w:rFonts w:ascii="Times New Roman" w:hAnsi="Times New Roman"/>
          <w:b w:val="false"/>
          <w:i w:val="false"/>
          <w:color w:val="000000"/>
          <w:sz w:val="22"/>
        </w:rPr>
        <w:t>The grantee shall agree to include in all printed lists of contributors the following credit line: “State Historical Society of Iowa, Historic Site Preservation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All project moneys, including grant funds and matching funds, shall be expended within the period established by legislation. Disbursement of grant funds shall be made on a schedule as determined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Grant recipients shall keep adequate records relating to the administration of a project, particularly relating to all incurred expenses. These records shall be available for audit by representatives of the society and the state auditor’s office. All records shall be retained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During the contract period, whenever any property, real or personal, acquired or developed with grants under this program passes from the control of the grantee or is used for purposes other than the approved project purpose, it shall be considered an unlawful use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50.6(7)</w:t>
      </w:r>
      <w:r>
        <w:rPr>
          <w:rFonts w:ascii="Times New Roman" w:hAnsi="Times New Roman"/>
          <w:b w:val="false"/>
          <w:i w:val="false"/>
          <w:color w:val="000000"/>
          <w:sz w:val="22"/>
        </w:rPr>
        <w:t> </w:t>
      </w:r>
      <w:r>
        <w:rPr>
          <w:rFonts w:ascii="Times New Roman" w:hAnsi="Times New Roman"/>
          <w:b w:val="false"/>
          <w:i/>
          <w:color w:val="000000"/>
          <w:sz w:val="22"/>
        </w:rPr>
        <w:t xml:space="preserve">Remedy. </w:t>
      </w:r>
      <w:r>
        <w:rPr>
          <w:rFonts w:ascii="Times New Roman" w:hAnsi="Times New Roman"/>
          <w:b w:val="false"/>
          <w:i w:val="false"/>
          <w:color w:val="000000"/>
          <w:sz w:val="22"/>
        </w:rPr>
        <w:t>Funds used without authorization, for purposes other than the approved project purpose, or unlawfully, shall be returned to the society for deposit in the account supporting this program. In the case of diversion of personal property, the grantee shall remit to the department funds in the amount of the original purchase price of the property. The grantee shall have a period of two years after notification by the society in which to correct the unlawful use of funds. The remedies provided in this subrule are in addition to others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Whenever the administrator determines that a grantee is in violation of this rule, that grantee shall be ineligible to receive further grant funds until the matter has been resolved to the satisfaction of the state historical society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r>
        <w:rPr>
          <w:rFonts w:ascii="Times New Roman" w:hAnsi="Times New Roman"/>
          <w:b w:val="false"/>
          <w:i w:val="false"/>
          <w:color w:val="000000"/>
          <w:sz w:val="22"/>
        </w:rPr>
        <w:t>The department may use up to 2 percent of the total appropriation for providing technical assistance to grant applicants and for administrative costs incurred in implementing the program.</w:t>
      </w:r>
    </w:p>
    <w:p>
      <w:pPr>
        <w:spacing w:before="0" w:after="0"/>
        <w:ind w:left="120"/>
        <w:jc w:val="both"/>
      </w:pPr>
      <w:r>
        <w:rPr>
          <w:rFonts w:ascii="Times New Roman" w:hAnsi="Times New Roman"/>
          <w:b/>
          <w:i w:val="false"/>
          <w:color w:val="000000"/>
          <w:sz w:val="22"/>
        </w:rPr>
        <w:t>223—50.7</w:t>
      </w:r>
      <w:r>
        <w:rPr>
          <w:rFonts w:ascii="Times New Roman" w:hAnsi="Times New Roman"/>
          <w:b/>
          <w:i w:val="false"/>
          <w:color w:val="000000"/>
          <w:sz w:val="22"/>
        </w:rPr>
        <w:t xml:space="preserve">(303) </w:t>
      </w:r>
      <w:r>
        <w:rPr>
          <w:rFonts w:ascii="Times New Roman" w:hAnsi="Times New Roman"/>
          <w:b/>
          <w:i w:val="false"/>
          <w:color w:val="000000"/>
          <w:sz w:val="22"/>
        </w:rPr>
        <w:t xml:space="preserve">Informal appeals. </w:t>
      </w:r>
      <w:r>
        <w:rPr>
          <w:rFonts w:ascii="Times New Roman" w:hAnsi="Times New Roman"/>
          <w:b w:val="false"/>
          <w:i w:val="false"/>
          <w:color w:val="000000"/>
          <w:sz w:val="22"/>
        </w:rPr>
        <w:t>Eligible applicants or grantees may informally appeal a decision of the society not to grant historic site preservation grant funds on any of the following bases: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Action was outside statutory authority;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Decision was influenced by a conflict of interest;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Action violated state law, administrative rule, or written policy;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Insufficient public notice was given;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Alteration of the review process was detrimental to the applicant.</w:t>
      </w:r>
    </w:p>
    <w:p>
      <w:pPr>
        <w:spacing w:before="0" w:after="0"/>
        <w:ind w:left="120"/>
        <w:jc w:val="both"/>
      </w:pPr>
      <w:r>
        <w:rPr>
          <w:rFonts w:ascii="Times New Roman" w:hAnsi="Times New Roman"/>
          <w:b w:val="false"/>
          <w:i w:val="false"/>
          <w:color w:val="000000"/>
          <w:sz w:val="22"/>
        </w:rPr>
        <w:t>Informal appeals in writing may be directed to the director within 15 days of the incident. All informal appeals shall be directed to the Director, Department of Cultural Affairs, Historical Building, 600 East Locust, Des Moines, Iowa 50319-0290. All informal appeals shall contain facts of the case, argument in favor of the appeal, and remedy sought.</w:t>
      </w:r>
    </w:p>
    <w:p>
      <w:pPr>
        <w:spacing w:before="0" w:after="0"/>
        <w:ind w:left="120"/>
        <w:jc w:val="both"/>
      </w:pPr>
      <w:r>
        <w:rPr>
          <w:rFonts w:ascii="Times New Roman" w:hAnsi="Times New Roman"/>
          <w:b w:val="false"/>
          <w:i w:val="false"/>
          <w:color w:val="000000"/>
          <w:sz w:val="22"/>
        </w:rPr>
        <w:t xml:space="preserve">The director shall consider and rule on the informal appeal after receiving all documentation from the appellant and shall notify the appellant in writing of the decision within 30 days. Decisions by the director may be appealed through the contested case process as set out in Iowa Code sections </w:t>
      </w:r>
      <w:hyperlink r:id="rId8">
        <w:r>
          <w:rPr>
            <w:rStyle w:val="Hyperlink"/>
            <w:rFonts w:ascii="Times New Roman" w:hAnsi="Times New Roman"/>
            <w:b w:val="false"/>
            <w:i w:val="false"/>
            <w:color w:val="000000"/>
            <w:sz w:val="22"/>
          </w:rPr>
          <w:t>17A.10 to 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223—50.8</w:t>
      </w:r>
      <w:r>
        <w:rPr>
          <w:rFonts w:ascii="Times New Roman" w:hAnsi="Times New Roman"/>
          <w:b/>
          <w:i w:val="false"/>
          <w:color w:val="000000"/>
          <w:sz w:val="22"/>
        </w:rPr>
        <w:t xml:space="preserve">(303) </w:t>
      </w:r>
      <w:r>
        <w:rPr>
          <w:rFonts w:ascii="Times New Roman" w:hAnsi="Times New Roman"/>
          <w:b/>
          <w:i w:val="false"/>
          <w:color w:val="000000"/>
          <w:sz w:val="22"/>
        </w:rPr>
        <w:t xml:space="preserve">Emergency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grants may be awarded to any local political subdivision of the state, state agency, Indian tribe, individual or nonprofit organization that is duly authorized and charged with responsibilities for construction, maintenance and operation of historical sites, or to the owner of a historical site as defined in rule 50.2(303).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grants may be awarded for projects arising in counties for which a gubernatorial disaster emergency proclamation has been issued for natural disasters arising during the period of April 1, 2008, through June 30,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Emergency grants may be awarded to projects for emergency stabilization of historical sites. All emergency grant projects shall meet the U.S. Secretary of the Interior’s Standards and Guidelines for Archaeology and Historic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w:t>
      </w:r>
      <w:r>
        <w:rPr>
          <w:rFonts w:ascii="Times New Roman" w:hAnsi="Times New Roman"/>
          <w:b w:val="false"/>
          <w:i w:val="false"/>
          <w:color w:val="000000"/>
          <w:sz w:val="22"/>
        </w:rPr>
        <w:t> </w:t>
      </w:r>
      <w:r>
        <w:rPr>
          <w:rFonts w:ascii="Times New Roman" w:hAnsi="Times New Roman"/>
          <w:b w:val="false"/>
          <w:i/>
          <w:color w:val="000000"/>
          <w:sz w:val="22"/>
        </w:rPr>
        <w:t xml:space="preserve">Grant amount. </w:t>
      </w:r>
      <w:r>
        <w:rPr>
          <w:rFonts w:ascii="Times New Roman" w:hAnsi="Times New Roman"/>
          <w:b w:val="false"/>
          <w:i w:val="false"/>
          <w:color w:val="000000"/>
          <w:sz w:val="22"/>
        </w:rPr>
        <w:t>Any application requesting less than $1,000 in grant funds or more than $50,000 in grant funds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Applications (one original and four copies) will be received on a continuous basis and will be reviewed monthly.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50.8(5)</w:t>
      </w:r>
      <w:r>
        <w:rPr>
          <w:rFonts w:ascii="Times New Roman" w:hAnsi="Times New Roman"/>
          <w:b w:val="false"/>
          <w:i w:val="false"/>
          <w:color w:val="000000"/>
          <w:sz w:val="22"/>
        </w:rPr>
        <w:t> </w:t>
      </w:r>
      <w:r>
        <w:rPr>
          <w:rFonts w:ascii="Times New Roman" w:hAnsi="Times New Roman"/>
          <w:b w:val="false"/>
          <w:i/>
          <w:color w:val="000000"/>
          <w:sz w:val="22"/>
        </w:rPr>
        <w:t xml:space="preserve">Review panel. </w:t>
      </w:r>
      <w:r>
        <w:rPr>
          <w:rFonts w:ascii="Times New Roman" w:hAnsi="Times New Roman"/>
          <w:b w:val="false"/>
          <w:i w:val="false"/>
          <w:color w:val="000000"/>
          <w:sz w:val="22"/>
        </w:rPr>
        <w:t>A review and selection panel, hereinafter referred to as the review panel, comprised of four members appointed by the administrator, shall review and evaluate emergency project applications and shall develop funding recommendations to be forwarded to the administrator of the historical division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50.8(6)</w:t>
      </w:r>
      <w:r>
        <w:rPr>
          <w:rFonts w:ascii="Times New Roman" w:hAnsi="Times New Roman"/>
          <w:b w:val="false"/>
          <w:i w:val="false"/>
          <w:color w:val="000000"/>
          <w:sz w:val="22"/>
        </w:rPr>
        <w:t> </w:t>
      </w:r>
      <w:r>
        <w:rPr>
          <w:rFonts w:ascii="Times New Roman" w:hAnsi="Times New Roman"/>
          <w:b w:val="false"/>
          <w:i/>
          <w:color w:val="000000"/>
          <w:sz w:val="22"/>
        </w:rPr>
        <w:t xml:space="preserve">Application rating system. </w:t>
      </w:r>
      <w:r>
        <w:rPr>
          <w:rFonts w:ascii="Times New Roman" w:hAnsi="Times New Roman"/>
          <w:b w:val="false"/>
          <w:i w:val="false"/>
          <w:color w:val="000000"/>
          <w:sz w:val="22"/>
        </w:rPr>
        <w:t>The review panel shall apply a numerical rating system to each grant application that is considered for funding assistance. The criteria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emergency status of the project as evaluated against the definition of emergency in rule </w:t>
      </w:r>
      <w:hyperlink r:id="rId9">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(303) and eligibility criteria identified in subrule </w:t>
      </w:r>
      <w:hyperlink r:id="rId10">
        <w:r>
          <w:rPr>
            <w:rStyle w:val="Hyperlink"/>
            <w:rFonts w:ascii="Times New Roman" w:hAnsi="Times New Roman"/>
            <w:b w:val="false"/>
            <w:i w:val="false"/>
            <w:color w:val="000000"/>
            <w:sz w:val="22"/>
          </w:rPr>
          <w:t>50.8(1)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historical or cultural significance of the project and the degree to which the project is of regional, state, or national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quality of the plans to stabilize the historical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budget is reasonable and appropriate for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applicant demonstrates a commitment to the future viability of the resource by planning for the ongoing operation and maintenance of the project following stabilization.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303.1A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8/6/98—published 8/26/98, effective 8/6/98]</w:t>
      </w:r>
    </w:p>
    <w:p>
      <w:pPr>
        <w:spacing w:before="0" w:after="0"/>
        <w:ind w:left="120"/>
        <w:jc w:val="center"/>
      </w:pPr>
      <w:r>
        <w:rPr>
          <w:rFonts w:ascii="Times New Roman" w:hAnsi="Times New Roman"/>
          <w:b w:val="false"/>
          <w:i w:val="false"/>
          <w:color w:val="000000"/>
          <w:sz w:val="21"/>
        </w:rPr>
        <w:t>[Filed emergency 7/23/99—published 8/11/99, effective 7/23/99]</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8234B</w:t>
      </w:r>
      <w:r>
        <w:rPr>
          <w:rFonts w:ascii="Times New Roman" w:hAnsi="Times New Roman"/>
          <w:b w:val="false"/>
          <w:i w:val="false"/>
          <w:color w:val="000000"/>
          <w:sz w:val="21"/>
        </w:rPr>
        <w:t xml:space="preserve"> (Notice ARC 7817B, IAB 6/3/09)</w:t>
      </w:r>
      <w:r>
        <w:rPr>
          <w:rFonts w:ascii="Times New Roman" w:hAnsi="Times New Roman"/>
          <w:b w:val="false"/>
          <w:i w:val="false"/>
          <w:color w:val="000000"/>
          <w:sz w:val="21"/>
        </w:rPr>
        <w:t>, IAB 10/21/09, effective 11/25/09]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7.pdf" Type="http://schemas.openxmlformats.org/officeDocument/2006/relationships/hyperlink" Id="rId5"/>
    <Relationship TargetMode="External" Target="https://www.legis.iowa.gov/docs/ico/chapter/303.1.pdf" Type="http://schemas.openxmlformats.org/officeDocument/2006/relationships/hyperlink" Id="rId6"/>
    <Relationship TargetMode="External" Target="https://www.legis.iowa.gov/docs/ico/chapter/8.57.pdf" Type="http://schemas.openxmlformats.org/officeDocument/2006/relationships/hyperlink" Id="rId7"/>
    <Relationship TargetMode="External" Target="https://www.legis.iowa.gov/docs/ico/chapter/17A.10-19.pdf" Type="http://schemas.openxmlformats.org/officeDocument/2006/relationships/hyperlink" Id="rId8"/>
    <Relationship TargetMode="External" Target="https://www.legis.iowa.gov/docs/iac/rule/223.50.2.pdf" Type="http://schemas.openxmlformats.org/officeDocument/2006/relationships/hyperlink" Id="rId9"/>
    <Relationship TargetMode="External" Target="https://www.legis.iowa.gov/docs/iac/rule/223.50.8.pdf" Type="http://schemas.openxmlformats.org/officeDocument/2006/relationships/hyperlink" Id="rId10"/>
    <Relationship TargetMode="External" Target="https://www.legis.iowa.gov/docs/ico/chapter/303.1A.pdf" Type="http://schemas.openxmlformats.org/officeDocument/2006/relationships/hyperlink" Id="rId11"/>
    <Relationship TargetMode="External" Target="https://www.legis.iowa.gov/docs/ico/chapter/303.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