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w:t>
      </w:r>
    </w:p>
    <w:p>
      <w:pPr>
        <w:spacing w:before="0" w:after="0"/>
        <w:ind w:left="120"/>
        <w:jc w:val="center"/>
      </w:pPr>
      <w:r>
        <w:rPr>
          <w:rFonts w:ascii="Times New Roman" w:hAnsi="Times New Roman"/>
          <w:b w:val="false"/>
          <w:i w:val="false"/>
          <w:color w:val="000000"/>
          <w:sz w:val="21"/>
        </w:rPr>
        <w:t>EDUCATION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223—39.1</w:t>
      </w:r>
      <w:r>
        <w:rPr>
          <w:rFonts w:ascii="Times New Roman" w:hAnsi="Times New Roman"/>
          <w:b/>
          <w:i w:val="false"/>
          <w:color w:val="000000"/>
          <w:sz w:val="22"/>
        </w:rPr>
        <w:t xml:space="preserve">(303) </w:t>
      </w:r>
      <w:r>
        <w:rPr>
          <w:rFonts w:ascii="Times New Roman" w:hAnsi="Times New Roman"/>
          <w:b/>
          <w:i w:val="false"/>
          <w:color w:val="000000"/>
          <w:sz w:val="22"/>
        </w:rPr>
        <w:t xml:space="preserve">Purpose. </w:t>
      </w:r>
      <w:r>
        <w:rPr>
          <w:rFonts w:ascii="Times New Roman" w:hAnsi="Times New Roman"/>
          <w:b w:val="false"/>
          <w:i w:val="false"/>
          <w:color w:val="000000"/>
          <w:sz w:val="22"/>
        </w:rPr>
        <w:t>The Education Program provides educational services to the public concerning many topics. Printed materials, audiovisual materials, and staff presentations are available.</w:t>
      </w:r>
    </w:p>
    <w:p>
      <w:pPr>
        <w:spacing w:before="210" w:after="0"/>
        <w:ind w:left="120"/>
        <w:jc w:val="both"/>
      </w:pPr>
      <w:r>
        <w:rPr>
          <w:rFonts w:ascii="Times New Roman" w:hAnsi="Times New Roman"/>
          <w:b/>
          <w:i w:val="false"/>
          <w:color w:val="000000"/>
          <w:sz w:val="22"/>
        </w:rPr>
        <w:t>223—39.2</w:t>
      </w:r>
      <w:r>
        <w:rPr>
          <w:rFonts w:ascii="Times New Roman" w:hAnsi="Times New Roman"/>
          <w:b/>
          <w:i w:val="false"/>
          <w:color w:val="000000"/>
          <w:sz w:val="22"/>
        </w:rPr>
        <w:t xml:space="preserve">(303) </w:t>
      </w:r>
      <w:r>
        <w:rPr>
          <w:rFonts w:ascii="Times New Roman" w:hAnsi="Times New Roman"/>
          <w:b/>
          <w:i w:val="false"/>
          <w:color w:val="000000"/>
          <w:sz w:val="22"/>
        </w:rPr>
        <w:t xml:space="preserve">Regulations. </w:t>
      </w:r>
      <w:r>
        <w:rPr>
          <w:rFonts w:ascii="Times New Roman" w:hAnsi="Times New Roman"/>
          <w:b w:val="false"/>
          <w:i w:val="false"/>
          <w:color w:val="000000"/>
          <w:sz w:val="22"/>
        </w:rPr>
        <w:t>The Education Program shall operate in accordance with the National Historic Preservation Act of 1966 and the Program Guidelines-NPS 49, Chapters 12 and 13.</w:t>
      </w:r>
    </w:p>
    <w:p>
      <w:pPr>
        <w:spacing w:before="210" w:after="0"/>
        <w:ind w:left="120"/>
        <w:jc w:val="both"/>
      </w:pPr>
      <w:r>
        <w:rPr>
          <w:rFonts w:ascii="Times New Roman" w:hAnsi="Times New Roman"/>
          <w:b/>
          <w:i w:val="false"/>
          <w:color w:val="000000"/>
          <w:sz w:val="22"/>
        </w:rPr>
        <w:t>223—39.3</w:t>
      </w:r>
      <w:r>
        <w:rPr>
          <w:rFonts w:ascii="Times New Roman" w:hAnsi="Times New Roman"/>
          <w:b/>
          <w:i w:val="false"/>
          <w:color w:val="000000"/>
          <w:sz w:val="22"/>
        </w:rPr>
        <w:t xml:space="preserve">(303) </w:t>
      </w:r>
      <w:r>
        <w:rPr>
          <w:rFonts w:ascii="Times New Roman" w:hAnsi="Times New Roman"/>
          <w:b/>
          <w:i w:val="false"/>
          <w:color w:val="000000"/>
          <w:sz w:val="22"/>
        </w:rPr>
        <w:t xml:space="preserve">Procedure. </w:t>
      </w:r>
      <w:r>
        <w:rPr>
          <w:rFonts w:ascii="Times New Roman" w:hAnsi="Times New Roman"/>
          <w:b w:val="false"/>
          <w:i w:val="false"/>
          <w:color w:val="000000"/>
          <w:sz w:val="22"/>
        </w:rPr>
        <w:t>Services are provided to individuals or organizations on a first-come, first-served basis. Fees may be charged to cover expenses. Requests for services may be directed to the Iowa History Resource Center, State Historical Society of Iowa, Capitol Complex, Des Moines, Iowa 50319, (515)281-6860. Many materials may be obtained from the Iowa History Resource Center, State Historical Society of Iowa, Capitol Complex, Des Moines, Iowa 50319, (515)281-6860.</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303.2</w:t>
        </w:r>
      </w:hyperlink>
      <w:r>
        <w:rPr>
          <w:rFonts w:ascii="Times New Roman" w:hAnsi="Times New Roman"/>
          <w:b w:val="false"/>
          <w:i w:val="false"/>
          <w:color w:val="000000"/>
          <w:sz w:val="22"/>
        </w:rPr>
        <w:t xml:space="preserve"> and Iowa Code chapter </w:t>
      </w:r>
      <w:hyperlink r:id="rId6">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subchapter II.</w:t>
      </w:r>
    </w:p>
    <w:p>
      <w:pPr>
        <w:spacing w:before="0" w:after="0"/>
        <w:ind w:left="120"/>
        <w:jc w:val="center"/>
      </w:pPr>
      <w:r>
        <w:rPr>
          <w:rFonts w:ascii="Times New Roman" w:hAnsi="Times New Roman"/>
          <w:b w:val="false"/>
          <w:i w:val="false"/>
          <w:color w:val="000000"/>
          <w:sz w:val="21"/>
        </w:rPr>
        <w:t>[Filed without Notice 5/12/89—published 5/31/89, effective 7/5/89]</w:t>
      </w:r>
    </w:p>
    <w:p>
      <w:pPr>
        <w:spacing w:before="0" w:after="0"/>
        <w:ind w:left="120"/>
        <w:jc w:val="center"/>
      </w:pPr>
      <w:r>
        <w:rPr>
          <w:rFonts w:ascii="Times New Roman" w:hAnsi="Times New Roman"/>
          <w:b w:val="false"/>
          <w:i w:val="false"/>
          <w:color w:val="000000"/>
          <w:sz w:val="21"/>
        </w:rPr>
        <w:t>[Filed emergency 12/2/93—published 12/22/93, effective 12/2/93]</w:t>
      </w:r>
    </w:p>
    <w:p>
      <w:pPr>
        <w:spacing w:before="0" w:after="0"/>
        <w:ind w:left="120"/>
        <w:jc w:val="center"/>
      </w:pPr>
      <w:r>
        <w:rPr>
          <w:rFonts w:ascii="Times New Roman" w:hAnsi="Times New Roman"/>
          <w:b w:val="false"/>
          <w:i w:val="false"/>
          <w:color w:val="000000"/>
          <w:sz w:val="21"/>
        </w:rPr>
        <w:t>[Filed 1/27/94, Notice 12/22/93—published 2/16/94, effective 3/23/94]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03.2.pdf" Type="http://schemas.openxmlformats.org/officeDocument/2006/relationships/hyperlink" Id="rId5"/>
    <Relationship TargetMode="External" Target="https://www.legis.iowa.gov/docs/ico/chapter/30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