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IV</w:t>
      </w:r>
    </w:p>
    <w:p>
      <w:pPr>
        <w:pBdr>
          <w:bottom w:space="3"/>
        </w:pBdr>
        <w:spacing w:before="0" w:after="0"/>
        <w:ind w:left="120"/>
        <w:jc w:val="center"/>
      </w:pPr>
      <w:r>
        <w:rPr>
          <w:rFonts w:ascii="Times New Roman" w:hAnsi="Times New Roman"/>
          <w:b w:val="false"/>
          <w:i/>
          <w:color w:val="000000"/>
          <w:sz w:val="16"/>
        </w:rPr>
        <w:t>PUBLIC ACCESS PROCEDURES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MEMBERSHIP IN THE SOCIETY</w:t>
      </w:r>
    </w:p>
    <w:p>
      <w:pPr>
        <w:spacing w:before="0" w:after="0"/>
        <w:ind w:left="120"/>
        <w:jc w:val="center"/>
      </w:pPr>
      <w:r>
        <w:rPr>
          <w:rFonts w:ascii="Times New Roman" w:hAnsi="Times New Roman"/>
          <w:b w:val="false"/>
          <w:i w:val="false"/>
          <w:color w:val="000000"/>
          <w:sz w:val="14"/>
        </w:rPr>
        <w:t>[Prior to 5/31/89, see [490] Ch 5 and [223] Ch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223—21.1</w:t>
      </w:r>
      <w:r>
        <w:rPr>
          <w:rFonts w:ascii="Times New Roman" w:hAnsi="Times New Roman"/>
          <w:b/>
          <w:i w:val="false"/>
          <w:color w:val="000000"/>
          <w:sz w:val="22"/>
        </w:rPr>
        <w:t xml:space="preserve">(303) </w:t>
      </w:r>
      <w:r>
        <w:rPr>
          <w:rFonts w:ascii="Times New Roman" w:hAnsi="Times New Roman"/>
          <w:b/>
          <w:i w:val="false"/>
          <w:color w:val="000000"/>
          <w:sz w:val="22"/>
        </w:rPr>
        <w:t xml:space="preserve">Function. </w:t>
      </w:r>
      <w:r>
        <w:rPr>
          <w:rFonts w:ascii="Times New Roman" w:hAnsi="Times New Roman"/>
          <w:b w:val="false"/>
          <w:i w:val="false"/>
          <w:color w:val="000000"/>
          <w:sz w:val="22"/>
        </w:rPr>
        <w:t>The society operates a membership organization for the purpose of encouraging the study of Iowa history. Membership is open to all individuals and groups according to the policies and fee schedule established by the society. Life memberships are not available. Existing life members shall be serviced as provided in the original membership agreement.</w:t>
      </w:r>
    </w:p>
    <w:p>
      <w:pPr>
        <w:spacing w:before="0" w:after="0"/>
        <w:ind w:left="120"/>
        <w:jc w:val="both"/>
      </w:pPr>
      <w:r>
        <w:rPr>
          <w:rFonts w:ascii="Times New Roman" w:hAnsi="Times New Roman"/>
          <w:b/>
          <w:i w:val="false"/>
          <w:color w:val="000000"/>
          <w:sz w:val="22"/>
        </w:rPr>
        <w:t>223—21.2</w:t>
      </w:r>
      <w:r>
        <w:rPr>
          <w:rFonts w:ascii="Times New Roman" w:hAnsi="Times New Roman"/>
          <w:b/>
          <w:i w:val="false"/>
          <w:color w:val="000000"/>
          <w:sz w:val="22"/>
        </w:rPr>
        <w:t xml:space="preserve">(303) </w:t>
      </w:r>
      <w:r>
        <w:rPr>
          <w:rFonts w:ascii="Times New Roman" w:hAnsi="Times New Roman"/>
          <w:b/>
          <w:i w:val="false"/>
          <w:color w:val="000000"/>
          <w:sz w:val="22"/>
        </w:rPr>
        <w:t xml:space="preserve">Fees. </w:t>
      </w:r>
      <w:r>
        <w:rPr>
          <w:rFonts w:ascii="Times New Roman" w:hAnsi="Times New Roman"/>
          <w:b w:val="false"/>
          <w:i w:val="false"/>
          <w:color w:val="000000"/>
          <w:sz w:val="22"/>
        </w:rPr>
        <w:t>Fees are charged for benefits and services provided to members. The membership program is administered by the Historical Division of the Department of Cultural Affairs, 600 East Locust Street, Des Moines, Iowa 50319, telephone (515)281-5111.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4427C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223—21.3</w:t>
      </w:r>
      <w:r>
        <w:rPr>
          <w:rFonts w:ascii="Times New Roman" w:hAnsi="Times New Roman"/>
          <w:b/>
          <w:i w:val="false"/>
          <w:color w:val="000000"/>
          <w:sz w:val="22"/>
        </w:rPr>
        <w:t xml:space="preserve">(303) </w:t>
      </w:r>
      <w:r>
        <w:rPr>
          <w:rFonts w:ascii="Times New Roman" w:hAnsi="Times New Roman"/>
          <w:b/>
          <w:i w:val="false"/>
          <w:color w:val="000000"/>
          <w:sz w:val="22"/>
        </w:rPr>
        <w:t xml:space="preserve">Awards.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society shall make annual awards to individuals, government entities, groups, or organizations for the purposes of encouraging and rewarding contributions to the fields of Iowa history, archaeology and historic preservation; establishing an image of tradition and continuity; creating greater public and academic visibility for the society; and promoting high-quality rehabilitation of historic buildings.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Award programs. </w:t>
      </w:r>
      <w:r>
        <w:rPr>
          <w:rFonts w:ascii="Times New Roman" w:hAnsi="Times New Roman"/>
          <w:b w:val="false"/>
          <w:i w:val="false"/>
          <w:color w:val="000000"/>
          <w:sz w:val="22"/>
        </w:rPr>
        <w:t>Awards may be made in nine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William J. Petersen/Edgar Harlan Award. This award recognizes an individual, government entity, group, or organization that has made significant long-term or continuing contributions to Iowa history. No more than one award may be made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Loren Horton Community History Award. This award recognizes an individual, government entity, group, or organization that has made a significant contribution to local history through a local history project during the previous calendar year. No more than one award may be given annually. One certificate of recognition may be awarded in each of the following categories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Program or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Volunteers;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Project in museum, library, archives, historic preservation, or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Research or publications;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Youth.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Mildred Throne/Charles Aldrich Award. This award recognizes the author of the most significant article on Iowa history in a professional history journal during the previous calendar year. The board may give one award annually. Up to two certificates of recognition may be also awarded.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George Mills/Louise Noun Award. This award recognizes the author of the most significant illustrated article on an Iowa history topic published in a popular history periodical during the previous calendar year. The board may give one award annually. Up to two certificates of recognition may also be awarded.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Benjamin F. Shambaugh Award. This award recognizes the author of the most significant book published on Iowa history during the previous calendar year. The board may give one award annually. Up to two certificates of recognition may also be awarded.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Research Matters Award. This award recognizes outstanding library, archives, historic site and museum service provided to National History Day student researchers in Iowa during the previous program year. The board may award up to two certificates of merit and one certificate of achievement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Preservation Projects of Merit Award.This award recognizes historic preservation projects that exemplify the best of preservation practices, meet the U.S. Secretary of the Interior’s Standards for Rehabilitation of Historic Buildings, and utilize the state historic preservation tax credit program. The board may give one award annually in each of the following four categories.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Judith A. McClure Award. This award recognizes outstanding preservation of a residential property using state historic preservation tax credit program incentives. For purposes of this award, residential property shall be as defined in rule 223—48.2(303,404A).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Adrian D. Anderson Award. This award recognizes outstanding preservation of a small historic preservation project using state historic preservation tax credit program incentives. For purposes of this award, small projects are defined as those projects having total qualified costs of $750,000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Margaret Keyes Award. This award recognizes outstanding preservation of a large historic preservation project using state historic preservation tax credit program incentives. For purposes of this award, large projects are defined as those projects having total qualified costs of more than $750,000.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William J. Wagner Award. This award recognizes the historic preservation project which best exemplified use of the U.S. Secretary of the Interior’s Standards for Rehabilitation of Historic Buildings while using state historic preservation tax credit program incentives.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Excellence in Archaeology and Historic Preservation Award. This award recognizes the best archaeology or historic preservation project at the local or state level. The board may give one award and one certificate of merit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Dorothy Schwieder Excellence in Research Award. This award recognizes on a biennial basis the most significant research and contribution to the body of knowledge in Iowa history and is the top research and writing award given by the board during the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Selection.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Committees. </w:t>
      </w:r>
      <w:r>
        <w:rPr>
          <w:rFonts w:ascii="Times New Roman" w:hAnsi="Times New Roman"/>
          <w:b w:val="false"/>
          <w:i w:val="false"/>
          <w:color w:val="000000"/>
          <w:sz w:val="22"/>
        </w:rPr>
        <w:t>The chairperson of the society board of trustees shall appoint awards committees at the first meeting of the board held in each fiscal year. The nonvoting staff member on each committee shall be appointed by the administrator of the society to coincide with the other committee appointments. The term of office shall be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William J. Petersen/Edgar Harlan and Loren Horton awards committees. Nominations for these categories shall be reviewed by an awards committee composed of, at a minimum, three voting members, including at least one member of the society board of trustees. The committee shall also include one staff member of the society serving in a nonvoting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Mildred Throne/Charles Aldrich, George Mills/Louise Noun and Benjamin F. Shambaugh awards committees. Nominations for these categories shall be reviewed by awards committees composed of, at a minimum, three voting members, including at least one member of the society board of trustees. The committees shall also include one staff member of the society serving in a nonvoting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Research Matters Award. Nominations for this category shall be reviewed by an awards committee composed of, at a minimum, three voting members including at least one member of the society board of trustees and one practicing National History Day teacher. The committee shall also include one staff member of the society serving in a nonvoting capacity.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Preservation Projects of Merit Award. Nominations for this category shall be reviewed by an awards committee composed of, at a minimum, three voting members, including at least one member of the society board of trustees, one licensed architect who specializes in historic preservation, and one member of the state nominations review committee appointed in accordance with </w:t>
      </w:r>
      <w:hyperlink r:id="rId5">
        <w:r>
          <w:rPr>
            <w:rStyle w:val="Hyperlink"/>
            <w:rFonts w:ascii="Times New Roman" w:hAnsi="Times New Roman"/>
            <w:b w:val="false"/>
            <w:i w:val="false"/>
            <w:color w:val="000000"/>
            <w:sz w:val="22"/>
          </w:rPr>
          <w:t>223—subrule 35.6(6)</w:t>
        </w:r>
      </w:hyperlink>
      <w:r>
        <w:rPr>
          <w:rFonts w:ascii="Times New Roman" w:hAnsi="Times New Roman"/>
          <w:b w:val="false"/>
          <w:i w:val="false"/>
          <w:color w:val="000000"/>
          <w:sz w:val="22"/>
        </w:rPr>
        <w:t>. The committee shall also include one staff member of the society serving in a nonvoting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Excellence in Archaeology and Historic Preservation Award. Nominations for this category shall be reviewed by an awards committee composed of, at a minimum, three voting members including at least one member of the society board of trustees. The committee shall also include one staff member of the society serving in a nonvoting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Dorothy Schwieder Excellence in Research Award. Nominations for this category shall be reviewed by an awards committee composed of, at a minimum, three voting members including at least one member of the society board of trustees. The committee shall also include one staff member of the society serving in a nonvoting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Period of eligibility. </w:t>
      </w:r>
      <w:r>
        <w:rPr>
          <w:rFonts w:ascii="Times New Roman" w:hAnsi="Times New Roman"/>
          <w:b w:val="false"/>
          <w:i w:val="false"/>
          <w:color w:val="000000"/>
          <w:sz w:val="22"/>
        </w:rPr>
        <w:t>Awards in the Mildred Throne/Charles Aldrich, George Mills/Louise Noun, Benjamin F. Shambaugh, Loren Horton, and Excellence in Archaeology and Historic Preservation categories shall be made for activities and publications produced during the calendar year prior to the nomination. Awards in the Research Matters category shall be made for activities during the most recently completed National History Day competition in Iowa. Awards in the Preservation Projects of Merit category shall be made for state historic preservation tax credit projects with a Part 3 approved in the previous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Call for nominations.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William J. Petersen/Edgar Harlan Award, Loren Horton Award, Mildred Throne/Charles Aldrich Award, George Mills/Louise Noun Award, Benjamin F. Shambaugh Award, Excellence in Archaeology and Historic Preservation Award, and Dorothy Schwieder Excellence in Research Award. The public may nominate entries for the awards. Nominators shall complete and submit respective award paperwork for awards. Nomination forms are available by contacting the State Historical Society of Iowa or electronically on the State Historical Society of Iowa web page: </w:t>
      </w:r>
      <w:hyperlink r:id="rId6">
        <w:r>
          <w:rPr>
            <w:rStyle w:val="Hyperlink"/>
            <w:rFonts w:ascii="Times New Roman" w:hAnsi="Times New Roman"/>
            <w:b w:val="false"/>
            <w:i w:val="false"/>
            <w:color w:val="000000"/>
            <w:sz w:val="22"/>
            <w:u w:val="single"/>
          </w:rPr>
          <w:t>www.iowahistory.org</w:t>
        </w:r>
      </w:hyperlink>
      <w:r>
        <w:rPr>
          <w:rFonts w:ascii="Times New Roman" w:hAnsi="Times New Roman"/>
          <w:b w:val="false"/>
          <w:i w:val="false"/>
          <w:color w:val="000000"/>
          <w:sz w:val="22"/>
        </w:rPr>
        <w:t xml:space="preserve">. Nominations for the Shambaugh Award must be postmarked by January 2. All other awards must be postmarked by February 1 and must be submitted to the Administrator, State Historical Society of Iowa, 600 East Locust Street, Des Moines, Iowa 50319-0290. Nominations may also be submitted electronically to the email address posted on the State Historical Society of Iowa web page: </w:t>
      </w:r>
      <w:hyperlink r:id="rId7">
        <w:r>
          <w:rPr>
            <w:rStyle w:val="Hyperlink"/>
            <w:rFonts w:ascii="Times New Roman" w:hAnsi="Times New Roman"/>
            <w:b w:val="false"/>
            <w:i w:val="false"/>
            <w:color w:val="000000"/>
            <w:sz w:val="22"/>
            <w:u w:val="single"/>
          </w:rPr>
          <w:t>www.iowahistory.org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Research Matters Award. National History Day student researchers may nominate research libraries, archives, historic sites and museums on forms provided by the National History Day in Iowa program. Nominations shall include the name of the library, archive, historic site or museum nominated for the award and a description of the services provided by that library, archive, historic site or museum to National History Day student researchers in Iowa. Nominations must be received by the date of the annual state National History Day Contest. Nominations must be submitted to the Administrator, State Historical Society of Iowa, 600 East Locust Street, Des Moines, Iowa 50319-0290. Nominations may also be submitted electronically to the email address posted on the State Historical Society of Iowa web page: </w:t>
      </w:r>
      <w:hyperlink r:id="rId8">
        <w:r>
          <w:rPr>
            <w:rStyle w:val="Hyperlink"/>
            <w:rFonts w:ascii="Times New Roman" w:hAnsi="Times New Roman"/>
            <w:b w:val="false"/>
            <w:i w:val="false"/>
            <w:color w:val="000000"/>
            <w:sz w:val="22"/>
            <w:u w:val="single"/>
          </w:rPr>
          <w:t>www.iowahistory.org</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Preservation Projects of Merit Award. All historic rehabilitation projects with a Part 3 approved in the previous fiscal year, as determined by state historic preservation tax credit program staff, shall be considered for this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Number of nominations. </w:t>
      </w:r>
      <w:r>
        <w:rPr>
          <w:rFonts w:ascii="Times New Roman" w:hAnsi="Times New Roman"/>
          <w:b w:val="false"/>
          <w:i w:val="false"/>
          <w:color w:val="000000"/>
          <w:sz w:val="22"/>
        </w:rPr>
        <w:t>The awards committees shall report no more than three nominations for each award program and category to the society board of trustees for final selection. The awards committees shall transmit nominations to the board prior to the regularly scheduled meeting which permits the board to act 30 days prior to an annual awards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Board ineligibility. </w:t>
      </w:r>
      <w:r>
        <w:rPr>
          <w:rFonts w:ascii="Times New Roman" w:hAnsi="Times New Roman"/>
          <w:b w:val="false"/>
          <w:i w:val="false"/>
          <w:color w:val="000000"/>
          <w:sz w:val="22"/>
        </w:rPr>
        <w:t>No member of the board of trustees shall be eligible for nomination in any award category during the member’s term as a trustee.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Voting. </w:t>
      </w:r>
      <w:r>
        <w:rPr>
          <w:rFonts w:ascii="Times New Roman" w:hAnsi="Times New Roman"/>
          <w:b w:val="false"/>
          <w:i w:val="false"/>
          <w:color w:val="000000"/>
          <w:sz w:val="22"/>
        </w:rPr>
        <w:t xml:space="preserve">Selection in each category shall be by vote of the board of trustees in accordance with Iowa Code chapter </w:t>
      </w:r>
      <w:hyperlink r:id="rId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Robert’s Rules of Order, Revised Edition. Evaluation shall be based on the criteria stated in </w:t>
      </w:r>
      <w:hyperlink r:id="rId10">
        <w:r>
          <w:rPr>
            <w:rStyle w:val="Hyperlink"/>
            <w:rFonts w:ascii="Times New Roman" w:hAnsi="Times New Roman"/>
            <w:b w:val="false"/>
            <w:i w:val="false"/>
            <w:color w:val="000000"/>
            <w:sz w:val="22"/>
          </w:rPr>
          <w:t>21.3(4)</w:t>
        </w:r>
      </w:hyperlink>
      <w:r>
        <w:rPr>
          <w:rFonts w:ascii="Times New Roman" w:hAnsi="Times New Roman"/>
          <w:b w:val="false"/>
          <w:i w:val="false"/>
          <w:color w:val="000000"/>
          <w:sz w:val="22"/>
        </w:rPr>
        <w:t>. The society board of trustees reserves the right to decline any or all nominations based upon the awards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w:t>
      </w:r>
      <w:r>
        <w:rPr>
          <w:rFonts w:ascii="Times New Roman" w:hAnsi="Times New Roman"/>
          <w:b w:val="false"/>
          <w:i w:val="false"/>
          <w:color w:val="000000"/>
          <w:sz w:val="22"/>
        </w:rPr>
        <w:t> </w:t>
      </w:r>
      <w:r>
        <w:rPr>
          <w:rFonts w:ascii="Times New Roman" w:hAnsi="Times New Roman"/>
          <w:b w:val="false"/>
          <w:i/>
          <w:color w:val="000000"/>
          <w:sz w:val="22"/>
        </w:rPr>
        <w:t xml:space="preserve">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William J. Petersen/Edgar Harlan Award. Nominees shall have contributed a body of work advancing the preservation and interpretation of Iowa history. Each body of work shall be evaluated for significance, professionalism, and influence on Iowans’ perceptions of themselves. These criteria shall be weighted equally.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Loren Horton Award. Nominees shall have contributed a local history project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Increases awareness and appreciation for local or community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Encourages collaboration and support between individuals, groups, and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Promotes future interest in the history of the community and continues to generate enthusiasm;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Shows a diverse base of support from the members of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Provides long-term protection of community history, whether tangible or intangible;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Demonstrates an effort to include all interested members of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Mildred Throne/Charles Aldrich Award. Each nominated article shall be evaluated on its contribution to knowledge about Iowa history, scholarship, readability, and appropriateness for the intended audience. These criteria shall be weighted equally.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George Mills/Louise Noun Award. Each nominated article shall be evaluated on its contribution to knowledge about Iowa history, scholarship, readability, and appropriateness for the intended audience. These criteria shall be weighted equally.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Benjamin F. Shambaugh Award. Each nominated book shall be evaluated on its contribution to knowledge about Iowa history, scholarship, readability, and appropriateness for the intended audience. These criteria shall be weighted equally.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Research Matters Award. Each nominated institution shall be evaluated on its commitment to research support for young historical researchers as demonstrated by the institution’s positive attitude toward young researchers, its level of research knowledge, and its assistance to individual researchers. These criteria shall be weighted equally.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Preservation Projects of Merit Award. Each preservation project shall demonstrate outstanding application of the U.S. Secretary of the Interior’s Standards for Rehabilitation of Historic Buildings, the project’s impact on the local historic preservation community, and the project’s impact on economic development in the local community. These criteria shall be weighted equally.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Excellence in Archaeology and Historic Preservation Award. Projects shall be evaluated based 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Level of effort needed to preserve the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Historic significance of the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Application of the Secretary of the Interior’s Standards and Guidelines for Archaeology and Historic Preservation;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Local impact of the project and benefit to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Potential to replicate the project in another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steps taken to share this history with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Application of state or federal preservation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Dorothy Schwieder Excellence in Research Award. Each nomination shall be evaluated on its contribution to knowledge about Iowa history, scholarship, readability, and appropriateness for the intended audience. Eligible works include, but are not limited to, articles in popular periodicals or academic journals, books, dissertations, films, National Register of Historic Places nominations, or online projects. Winners of other State Historical Society of Iowa awards—the George Mills/Louise Noun Award, the Mildred Throne/Charles Aldrich Award, or the Benjamin F. Shambaugh Award—are also eligible for this prize. One award will be given biennially.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Award recipients shall be notified by mail at least 21 days prior to an annual awards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w:t>
      </w:r>
      <w:r>
        <w:rPr>
          <w:rFonts w:ascii="Times New Roman" w:hAnsi="Times New Roman"/>
          <w:b w:val="false"/>
          <w:i w:val="false"/>
          <w:color w:val="000000"/>
          <w:sz w:val="22"/>
        </w:rPr>
        <w:t> </w:t>
      </w:r>
      <w:r>
        <w:rPr>
          <w:rFonts w:ascii="Times New Roman" w:hAnsi="Times New Roman"/>
          <w:b w:val="false"/>
          <w:i/>
          <w:color w:val="000000"/>
          <w:sz w:val="22"/>
        </w:rPr>
        <w:t xml:space="preserve">Presentation. </w:t>
      </w:r>
      <w:r>
        <w:rPr>
          <w:rFonts w:ascii="Times New Roman" w:hAnsi="Times New Roman"/>
          <w:b w:val="false"/>
          <w:i w:val="false"/>
          <w:color w:val="000000"/>
          <w:sz w:val="22"/>
        </w:rPr>
        <w:t>The award shall be presented by a member of the board of trustees at an annual awards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7755B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4427C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303.7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7/15/75]</w:t>
      </w:r>
    </w:p>
    <w:p>
      <w:pPr>
        <w:spacing w:before="0" w:after="0"/>
        <w:ind w:left="120"/>
        <w:jc w:val="center"/>
      </w:pPr>
      <w:r>
        <w:rPr>
          <w:rFonts w:ascii="Times New Roman" w:hAnsi="Times New Roman"/>
          <w:b w:val="false"/>
          <w:i w:val="false"/>
          <w:color w:val="000000"/>
          <w:sz w:val="21"/>
        </w:rPr>
        <w:t>[Filed 9/14/76, Notice 6/14/76—published 10/6/76, effective 11/10/76]</w:t>
      </w:r>
    </w:p>
    <w:p>
      <w:pPr>
        <w:spacing w:before="0" w:after="0"/>
        <w:ind w:left="120"/>
        <w:jc w:val="center"/>
      </w:pPr>
      <w:r>
        <w:rPr>
          <w:rFonts w:ascii="Times New Roman" w:hAnsi="Times New Roman"/>
          <w:b w:val="false"/>
          <w:i w:val="false"/>
          <w:color w:val="000000"/>
          <w:sz w:val="21"/>
        </w:rPr>
        <w:t>[Filed emergency 8/15/80—published 9/3/80, effective 9/1/80]</w:t>
      </w:r>
    </w:p>
    <w:p>
      <w:pPr>
        <w:spacing w:before="0" w:after="0"/>
        <w:ind w:left="120"/>
        <w:jc w:val="center"/>
      </w:pPr>
      <w:r>
        <w:rPr>
          <w:rFonts w:ascii="Times New Roman" w:hAnsi="Times New Roman"/>
          <w:b w:val="false"/>
          <w:i w:val="false"/>
          <w:color w:val="000000"/>
          <w:sz w:val="21"/>
        </w:rPr>
        <w:t>[Filed emergency 10/30/87—published 11/18/87, effective 10/30/87]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2/19/88, Notice 11/18/87—published 3/9/88, effective 4/13/88]</w:t>
      </w:r>
    </w:p>
    <w:p>
      <w:pPr>
        <w:spacing w:before="0" w:after="0"/>
        <w:ind w:left="120"/>
        <w:jc w:val="center"/>
      </w:pPr>
      <w:r>
        <w:rPr>
          <w:rFonts w:ascii="Times New Roman" w:hAnsi="Times New Roman"/>
          <w:b w:val="false"/>
          <w:i w:val="false"/>
          <w:color w:val="000000"/>
          <w:sz w:val="21"/>
        </w:rPr>
        <w:t>[Filed 5/12/89, Notices 11/30/88, 3/22/89—published 5/31/89, effective 7/5/89]</w:t>
      </w:r>
    </w:p>
    <w:p>
      <w:pPr>
        <w:spacing w:before="0" w:after="0"/>
        <w:ind w:left="120"/>
        <w:jc w:val="center"/>
      </w:pPr>
      <w:r>
        <w:rPr>
          <w:rFonts w:ascii="Times New Roman" w:hAnsi="Times New Roman"/>
          <w:b w:val="false"/>
          <w:i w:val="false"/>
          <w:color w:val="000000"/>
          <w:sz w:val="21"/>
        </w:rPr>
        <w:t>[Filed emergency 12/2/93—published 12/22/93, effective 12/2/93]</w:t>
      </w:r>
    </w:p>
    <w:p>
      <w:pPr>
        <w:spacing w:before="0" w:after="0"/>
        <w:ind w:left="120"/>
        <w:jc w:val="center"/>
      </w:pPr>
      <w:r>
        <w:rPr>
          <w:rFonts w:ascii="Times New Roman" w:hAnsi="Times New Roman"/>
          <w:b w:val="false"/>
          <w:i w:val="false"/>
          <w:color w:val="000000"/>
          <w:sz w:val="21"/>
        </w:rPr>
        <w:t>[Filed 1/27/94, Notice 12/22/93—published 2/16/94, effective 3/23/94]</w:t>
      </w:r>
    </w:p>
    <w:p>
      <w:pPr>
        <w:spacing w:before="0" w:after="0"/>
        <w:ind w:left="120"/>
        <w:jc w:val="center"/>
      </w:pPr>
      <w:r>
        <w:rPr>
          <w:rFonts w:ascii="Times New Roman" w:hAnsi="Times New Roman"/>
          <w:b w:val="false"/>
          <w:i w:val="false"/>
          <w:color w:val="000000"/>
          <w:sz w:val="21"/>
        </w:rPr>
        <w:t>[Filed without Notice 2/23/96—published 3/13/96, effective 4/17/96]</w:t>
      </w:r>
    </w:p>
    <w:p>
      <w:pPr>
        <w:spacing w:before="0" w:after="0"/>
        <w:ind w:left="120"/>
        <w:jc w:val="center"/>
      </w:pPr>
      <w:r>
        <w:rPr>
          <w:rFonts w:ascii="Times New Roman" w:hAnsi="Times New Roman"/>
          <w:b w:val="false"/>
          <w:i w:val="false"/>
          <w:color w:val="000000"/>
          <w:sz w:val="21"/>
        </w:rPr>
        <w:t>[Filed 2/7/97, Notice 1/1/97—published 2/26/97, effective 4/2/97]</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7755B</w:t>
      </w:r>
      <w:r>
        <w:rPr>
          <w:rFonts w:ascii="Times New Roman" w:hAnsi="Times New Roman"/>
          <w:b w:val="false"/>
          <w:i w:val="false"/>
          <w:color w:val="000000"/>
          <w:sz w:val="21"/>
        </w:rPr>
        <w:t xml:space="preserve"> (Notice ARC 7602B, IAB 3/11/09)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4427C</w:t>
      </w:r>
      <w:r>
        <w:rPr>
          <w:rFonts w:ascii="Times New Roman" w:hAnsi="Times New Roman"/>
          <w:b w:val="false"/>
          <w:i w:val="false"/>
          <w:color w:val="000000"/>
          <w:sz w:val="21"/>
        </w:rPr>
        <w:t xml:space="preserve"> (Notice ARC 4330C, IAB 3/13/19)</w:t>
      </w:r>
      <w:r>
        <w:rPr>
          <w:rFonts w:ascii="Times New Roman" w:hAnsi="Times New Roman"/>
          <w:b w:val="false"/>
          <w:i w:val="false"/>
          <w:color w:val="000000"/>
          <w:sz w:val="21"/>
        </w:rPr>
        <w:t>, IAB 5/8/19, effective 6/12/19]</w:t>
      </w:r>
    </w:p>
    <w:p>
      <w:pPr>
        <w:pBdr>
          <w:bottom w:space="2"/>
        </w:pBdr>
        <w:spacing w:before="0" w:after="0"/>
        <w:ind w:left="120"/>
        <w:jc w:val="both"/>
      </w:pPr>
      <w:r>
        <w:rPr>
          <w:rFonts w:ascii="Times New Roman" w:hAnsi="Times New Roman"/>
          <w:b w:val="false"/>
          <w:i w:val="false"/>
          <w:color w:val="000000"/>
          <w:sz w:val="22"/>
        </w:rPr>
        <w:t>Filed 229—Ch 13, IAB 3/9/88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23.35.6.pdf" Type="http://schemas.openxmlformats.org/officeDocument/2006/relationships/hyperlink" Id="rId5"/>
    <Relationship TargetMode="External" Target="http://www.iowahistory.org" Type="http://schemas.openxmlformats.org/officeDocument/2006/relationships/hyperlink" Id="rId6"/>
    <Relationship TargetMode="External" Target="www.iowahistory.org" Type="http://schemas.openxmlformats.org/officeDocument/2006/relationships/hyperlink" Id="rId7"/>
    <Relationship TargetMode="External" Target="http://www.iowahistory.org" Type="http://schemas.openxmlformats.org/officeDocument/2006/relationships/hyperlink" Id="rId8"/>
    <Relationship TargetMode="External" Target="https://www.legis.iowa.gov/docs/ico/chapter/21.pdf" Type="http://schemas.openxmlformats.org/officeDocument/2006/relationships/hyperlink" Id="rId9"/>
    <Relationship TargetMode="External" Target="https://www.legis.iowa.gov/docs/iac/rule/223.21.3.pdf" Type="http://schemas.openxmlformats.org/officeDocument/2006/relationships/hyperlink" Id="rId10"/>
    <Relationship TargetMode="External" Target="https://www.legis.iowa.gov/docs/ico/chapter/303.7.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