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EXHIBITIONS POLICIES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223—14.1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Exhibitions are created by the museum for the purpose of promoting an understanding and appreciation of Iowa history through exhibition of the material manifestations of that history. In fulfilling this purpose the museum is cognizant of its equally significant role in the collection and preservation of the state’s material culture.</w:t>
      </w:r>
    </w:p>
    <w:p>
      <w:pPr>
        <w:spacing w:before="0" w:after="0"/>
        <w:ind w:left="120"/>
        <w:jc w:val="both"/>
      </w:pPr>
      <w:r>
        <w:rPr>
          <w:rFonts w:ascii="Times New Roman" w:hAnsi="Times New Roman"/>
          <w:b/>
          <w:i w:val="false"/>
          <w:color w:val="000000"/>
          <w:sz w:val="22"/>
        </w:rPr>
        <w:t>223—14.2</w:t>
      </w:r>
      <w:r>
        <w:rPr>
          <w:rFonts w:ascii="Times New Roman" w:hAnsi="Times New Roman"/>
          <w:b/>
          <w:i w:val="false"/>
          <w:color w:val="000000"/>
          <w:sz w:val="22"/>
        </w:rPr>
        <w:t xml:space="preserve">(303) </w:t>
      </w:r>
      <w:r>
        <w:rPr>
          <w:rFonts w:ascii="Times New Roman" w:hAnsi="Times New Roman"/>
          <w:b/>
          <w:i w:val="false"/>
          <w:color w:val="000000"/>
          <w:sz w:val="22"/>
        </w:rPr>
        <w:t xml:space="preserve">Location. </w:t>
      </w:r>
      <w:r>
        <w:rPr>
          <w:rFonts w:ascii="Times New Roman" w:hAnsi="Times New Roman"/>
          <w:b w:val="false"/>
          <w:i w:val="false"/>
          <w:color w:val="000000"/>
          <w:sz w:val="22"/>
        </w:rPr>
        <w:t>Several forms of exhibitions are created by the museum. These exhibitions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 Permanent. </w:t>
      </w:r>
      <w:r>
        <w:rPr>
          <w:rFonts w:ascii="Times New Roman" w:hAnsi="Times New Roman"/>
          <w:b w:val="false"/>
          <w:i w:val="false"/>
          <w:color w:val="000000"/>
          <w:sz w:val="22"/>
        </w:rPr>
        <w:t>These exhibitions are located at the Museum, State Historical Building, Capitol Complex, Des Moines, Iowa 50319, (515)281-5111 and at the historic sites operated by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 Temporary. </w:t>
      </w:r>
      <w:r>
        <w:rPr>
          <w:rFonts w:ascii="Times New Roman" w:hAnsi="Times New Roman"/>
          <w:b w:val="false"/>
          <w:i w:val="false"/>
          <w:color w:val="000000"/>
          <w:sz w:val="22"/>
        </w:rPr>
        <w:t>These exhibitions are located at the Museum, State Historical Building, Capitol Complex, Des Moines, Iowa 50319, (515)281-5111 and at the historic sites operated by the society. Temporary exhibitions are displayed in the museum for a limited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 Traveling.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223—14.3</w:t>
      </w:r>
      <w:r>
        <w:rPr>
          <w:rFonts w:ascii="Times New Roman" w:hAnsi="Times New Roman"/>
          <w:b/>
          <w:i w:val="false"/>
          <w:color w:val="000000"/>
          <w:sz w:val="22"/>
        </w:rPr>
        <w:t xml:space="preserve">(303) </w:t>
      </w:r>
      <w:r>
        <w:rPr>
          <w:rFonts w:ascii="Times New Roman" w:hAnsi="Times New Roman"/>
          <w:b/>
          <w:i w:val="false"/>
          <w:color w:val="000000"/>
          <w:sz w:val="22"/>
        </w:rPr>
        <w:t xml:space="preserve">Collections principles and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Original artifacts, specimens, documents, and images shall be the focus of and utilized in all exhibitions, unless they cannot be provided adequate preservation and protection while on exhibit.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Reproductions or models shall be used only as props or as required for the preservation of original materials. The incorporation of reproductions as the focus or subject of an exhibition shall be justified only by the lack of representative artifacts, extreme security or preservation requirements, or the overwhelming significance of the subject matter to Iowa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val="false"/>
          <w:color w:val="000000"/>
          <w:sz w:val="22"/>
        </w:rPr>
        <w:t>Reproductions and models shall be clearly identified as such, when necessary to distinguish them from historical collections. If reproductions are used as exhibit props or graphic tools and are not the focus of the exhibition, they need not be specifically identified as reproductions.</w:t>
      </w:r>
    </w:p>
    <w:p>
      <w:pPr>
        <w:spacing w:before="0" w:after="0"/>
        <w:ind w:left="120"/>
        <w:jc w:val="both"/>
      </w:pPr>
      <w:r>
        <w:rPr>
          <w:rFonts w:ascii="Times New Roman" w:hAnsi="Times New Roman"/>
          <w:b/>
          <w:i w:val="false"/>
          <w:color w:val="000000"/>
          <w:sz w:val="22"/>
        </w:rPr>
        <w:t>223—14.4</w:t>
      </w:r>
      <w:r>
        <w:rPr>
          <w:rFonts w:ascii="Times New Roman" w:hAnsi="Times New Roman"/>
          <w:b/>
          <w:i w:val="false"/>
          <w:color w:val="000000"/>
          <w:sz w:val="22"/>
        </w:rPr>
        <w:t xml:space="preserve">(303) </w:t>
      </w:r>
      <w:r>
        <w:rPr>
          <w:rFonts w:ascii="Times New Roman" w:hAnsi="Times New Roman"/>
          <w:b/>
          <w:i w:val="false"/>
          <w:color w:val="000000"/>
          <w:sz w:val="22"/>
        </w:rPr>
        <w:t xml:space="preserve">Conservation principles and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val="false"/>
          <w:color w:val="000000"/>
          <w:sz w:val="22"/>
        </w:rPr>
        <w:t>All exhibitions shall be designed to meet the conservation needs of the artifacts, images, and documents that are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val="false"/>
          <w:color w:val="000000"/>
          <w:sz w:val="22"/>
        </w:rPr>
        <w:t>If an artifact, image, or document cannot be exhibited without threatening the preservation of the item, it shall not be exhibited, and a reproduction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val="false"/>
          <w:color w:val="000000"/>
          <w:sz w:val="22"/>
        </w:rPr>
        <w:t>The exhibition environment shall be monitored on a regular basis to ensure maintenance of optimum environmental conditions for the items on exhibit.</w:t>
      </w:r>
    </w:p>
    <w:p>
      <w:pPr>
        <w:spacing w:before="0" w:after="0"/>
        <w:ind w:left="120"/>
        <w:jc w:val="both"/>
      </w:pPr>
      <w:r>
        <w:rPr>
          <w:rFonts w:ascii="Times New Roman" w:hAnsi="Times New Roman"/>
          <w:b/>
          <w:i w:val="false"/>
          <w:color w:val="000000"/>
          <w:sz w:val="22"/>
        </w:rPr>
        <w:t>223—14.5</w:t>
      </w:r>
      <w:r>
        <w:rPr>
          <w:rFonts w:ascii="Times New Roman" w:hAnsi="Times New Roman"/>
          <w:b/>
          <w:i w:val="false"/>
          <w:color w:val="000000"/>
          <w:sz w:val="22"/>
        </w:rPr>
        <w:t xml:space="preserve">(303) </w:t>
      </w:r>
      <w:r>
        <w:rPr>
          <w:rFonts w:ascii="Times New Roman" w:hAnsi="Times New Roman"/>
          <w:b/>
          <w:i w:val="false"/>
          <w:color w:val="000000"/>
          <w:sz w:val="22"/>
        </w:rPr>
        <w:t xml:space="preserve">Education principles and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All exhibitions shall incorporate the highest standards of scholarship.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Exhibit design shall employ learning theory and shall be designed for the appropriate cognitive and age developmental levels of the audiences.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Exhibits shall minimize enclosed casework and barriers between visitors and the artifacts consistent with artifact security and preservation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val="false"/>
          <w:color w:val="000000"/>
          <w:sz w:val="22"/>
        </w:rPr>
        <w:t>Items shall be displayed within appropriate interpretative frameworks.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14.5(5)</w:t>
      </w:r>
      <w:r>
        <w:rPr>
          <w:rFonts w:ascii="Times New Roman" w:hAnsi="Times New Roman"/>
          <w:b w:val="false"/>
          <w:i w:val="false"/>
          <w:color w:val="000000"/>
          <w:sz w:val="22"/>
        </w:rPr>
        <w:t> </w:t>
      </w:r>
      <w:r>
        <w:rPr>
          <w:rFonts w:ascii="Times New Roman" w:hAnsi="Times New Roman"/>
          <w:b w:val="false"/>
          <w:i w:val="false"/>
          <w:color w:val="000000"/>
          <w:sz w:val="22"/>
        </w:rPr>
        <w:t>Written text shall support the exhibition of original artifacts, specimens, images, and documents, but shall not be the focus of the exhibit. If extensive labeling is required, presentation in a format other than a museum exhibition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14.5(6)</w:t>
      </w:r>
      <w:r>
        <w:rPr>
          <w:rFonts w:ascii="Times New Roman" w:hAnsi="Times New Roman"/>
          <w:b w:val="false"/>
          <w:i w:val="false"/>
          <w:color w:val="000000"/>
          <w:sz w:val="22"/>
        </w:rPr>
        <w:t> </w:t>
      </w:r>
      <w:r>
        <w:rPr>
          <w:rFonts w:ascii="Times New Roman" w:hAnsi="Times New Roman"/>
          <w:b w:val="false"/>
          <w:i w:val="false"/>
          <w:color w:val="000000"/>
          <w:sz w:val="22"/>
        </w:rPr>
        <w:t>Exhibition design shall incorporate appropriate current design concepts, fabrication techniques, and technologies. Experimental design shall be used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14.5(7)</w:t>
      </w:r>
      <w:r>
        <w:rPr>
          <w:rFonts w:ascii="Times New Roman" w:hAnsi="Times New Roman"/>
          <w:b w:val="false"/>
          <w:i w:val="false"/>
          <w:color w:val="000000"/>
          <w:sz w:val="22"/>
        </w:rPr>
        <w:t> </w:t>
      </w:r>
      <w:r>
        <w:rPr>
          <w:rFonts w:ascii="Times New Roman" w:hAnsi="Times New Roman"/>
          <w:b w:val="false"/>
          <w:i w:val="false"/>
          <w:color w:val="000000"/>
          <w:sz w:val="22"/>
        </w:rPr>
        <w:t>Interactive components shall be incorporated in all exhibitions and shall not be confined to a single designated area. No interactive components shall violate the integrity, preservation, or security requirements of the artifacts.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14.5(8)</w:t>
      </w:r>
      <w:r>
        <w:rPr>
          <w:rFonts w:ascii="Times New Roman" w:hAnsi="Times New Roman"/>
          <w:b w:val="false"/>
          <w:i w:val="false"/>
          <w:color w:val="000000"/>
          <w:sz w:val="22"/>
        </w:rPr>
        <w:t> </w:t>
      </w:r>
      <w:r>
        <w:rPr>
          <w:rFonts w:ascii="Times New Roman" w:hAnsi="Times New Roman"/>
          <w:b w:val="false"/>
          <w:i w:val="false"/>
          <w:color w:val="000000"/>
          <w:sz w:val="22"/>
        </w:rPr>
        <w:t>Any individual or group from the general public, local groups organized for historical or cultural purpose, or the staff of the society may propose an exhibition. All proposals may be directed to the Bureau Chief, Museum, State Historical Society of Iowa, Capitol Complex, Des Moines, Iowa 50319, (515)281-5111. Final selection of exhibition topics, artifacts, and form of presentation rests with the chief of the museum and the administrator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14.5(9)</w:t>
      </w:r>
      <w:r>
        <w:rPr>
          <w:rFonts w:ascii="Times New Roman" w:hAnsi="Times New Roman"/>
          <w:b w:val="false"/>
          <w:i w:val="false"/>
          <w:color w:val="000000"/>
          <w:sz w:val="22"/>
        </w:rPr>
        <w:t> </w:t>
      </w:r>
      <w:r>
        <w:rPr>
          <w:rFonts w:ascii="Times New Roman" w:hAnsi="Times New Roman"/>
          <w:b w:val="false"/>
          <w:i w:val="false"/>
          <w:color w:val="000000"/>
          <w:sz w:val="22"/>
        </w:rPr>
        <w:t>Exhibitions shall be developed by teams that include appropriate representatives of the museum, other bureaus of the society, the scholarly community, and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14.5(10)</w:t>
      </w:r>
      <w:r>
        <w:rPr>
          <w:rFonts w:ascii="Times New Roman" w:hAnsi="Times New Roman"/>
          <w:b w:val="false"/>
          <w:i w:val="false"/>
          <w:color w:val="000000"/>
          <w:sz w:val="22"/>
        </w:rPr>
        <w:t> </w:t>
      </w:r>
      <w:r>
        <w:rPr>
          <w:rFonts w:ascii="Times New Roman" w:hAnsi="Times New Roman"/>
          <w:b w:val="false"/>
          <w:i w:val="false"/>
          <w:color w:val="000000"/>
          <w:sz w:val="22"/>
        </w:rPr>
        <w:t>Whenever possible exhibitions shall be pretested with a representative sample of the intended audience. Exhibition design, fabrication, and installation shall be adjusted appropriately to reflect the results of the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14.5(11)</w:t>
      </w:r>
      <w:r>
        <w:rPr>
          <w:rFonts w:ascii="Times New Roman" w:hAnsi="Times New Roman"/>
          <w:b w:val="false"/>
          <w:i w:val="false"/>
          <w:color w:val="000000"/>
          <w:sz w:val="22"/>
        </w:rPr>
        <w:t> </w:t>
      </w:r>
      <w:r>
        <w:rPr>
          <w:rFonts w:ascii="Times New Roman" w:hAnsi="Times New Roman"/>
          <w:b w:val="false"/>
          <w:i w:val="false"/>
          <w:color w:val="000000"/>
          <w:sz w:val="22"/>
        </w:rPr>
        <w:t>The museum shall maintain an ongoing evaluation program and incorporate the results in future exhibition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14.5(12)</w:t>
      </w:r>
      <w:r>
        <w:rPr>
          <w:rFonts w:ascii="Times New Roman" w:hAnsi="Times New Roman"/>
          <w:b w:val="false"/>
          <w:i w:val="false"/>
          <w:color w:val="000000"/>
          <w:sz w:val="22"/>
        </w:rPr>
        <w:t> </w:t>
      </w:r>
      <w:r>
        <w:rPr>
          <w:rFonts w:ascii="Times New Roman" w:hAnsi="Times New Roman"/>
          <w:b w:val="false"/>
          <w:i w:val="false"/>
          <w:color w:val="000000"/>
          <w:sz w:val="22"/>
        </w:rPr>
        <w:t>Exhibitions shall be designed so as to make guided tours unnecessary for understanding the exhibition.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14.5(13)</w:t>
      </w:r>
      <w:r>
        <w:rPr>
          <w:rFonts w:ascii="Times New Roman" w:hAnsi="Times New Roman"/>
          <w:b w:val="false"/>
          <w:i w:val="false"/>
          <w:color w:val="000000"/>
          <w:sz w:val="22"/>
        </w:rPr>
        <w:t> </w:t>
      </w:r>
      <w:r>
        <w:rPr>
          <w:rFonts w:ascii="Times New Roman" w:hAnsi="Times New Roman"/>
          <w:b w:val="false"/>
          <w:i w:val="false"/>
          <w:color w:val="000000"/>
          <w:sz w:val="22"/>
        </w:rPr>
        <w:t>Exhibitions shall create and maintain environments conducive to learning. This includes adequate lighting for comfort and safety; space for group tours and individuals simultaneously; seating and appropriate spaces to relieve visitor fatigue; and clear traffic flow patterns.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14.5(14)</w:t>
      </w:r>
      <w:r>
        <w:rPr>
          <w:rFonts w:ascii="Times New Roman" w:hAnsi="Times New Roman"/>
          <w:b w:val="false"/>
          <w:i w:val="false"/>
          <w:color w:val="000000"/>
          <w:sz w:val="22"/>
        </w:rPr>
        <w:t> </w:t>
      </w:r>
      <w:r>
        <w:rPr>
          <w:rFonts w:ascii="Times New Roman" w:hAnsi="Times New Roman"/>
          <w:b w:val="false"/>
          <w:i w:val="false"/>
          <w:color w:val="000000"/>
          <w:sz w:val="22"/>
        </w:rPr>
        <w:t>Exhibition techniques shall not intentionally misrepresent the facts or the authenticity of the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14.5(15)</w:t>
      </w:r>
      <w:r>
        <w:rPr>
          <w:rFonts w:ascii="Times New Roman" w:hAnsi="Times New Roman"/>
          <w:b w:val="false"/>
          <w:i w:val="false"/>
          <w:color w:val="000000"/>
          <w:sz w:val="22"/>
        </w:rPr>
        <w:t> </w:t>
      </w:r>
      <w:r>
        <w:rPr>
          <w:rFonts w:ascii="Times New Roman" w:hAnsi="Times New Roman"/>
          <w:b w:val="false"/>
          <w:i w:val="false"/>
          <w:color w:val="000000"/>
          <w:sz w:val="22"/>
        </w:rPr>
        <w:t>The exhibitions shall accurately reflect the social and cultural diversity and heritage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14.5(16)</w:t>
      </w:r>
      <w:r>
        <w:rPr>
          <w:rFonts w:ascii="Times New Roman" w:hAnsi="Times New Roman"/>
          <w:b w:val="false"/>
          <w:i w:val="false"/>
          <w:color w:val="000000"/>
          <w:sz w:val="22"/>
        </w:rPr>
        <w:t> </w:t>
      </w:r>
      <w:r>
        <w:rPr>
          <w:rFonts w:ascii="Times New Roman" w:hAnsi="Times New Roman"/>
          <w:b w:val="false"/>
          <w:i w:val="false"/>
          <w:color w:val="000000"/>
          <w:sz w:val="22"/>
        </w:rPr>
        <w:t>Exhibitions shall consider visitor safety. Design and fabrication shall adhere to all safety and health codes. Potential use and misuse by the public shall be considered.</w:t>
      </w:r>
    </w:p>
    <w:p>
      <w:pPr>
        <w:spacing w:before="210" w:after="0"/>
        <w:ind w:left="120"/>
        <w:jc w:val="both"/>
      </w:pPr>
      <w:r>
        <w:rPr>
          <w:rFonts w:ascii="Times New Roman" w:hAnsi="Times New Roman"/>
          <w:b/>
          <w:i w:val="false"/>
          <w:color w:val="000000"/>
          <w:sz w:val="22"/>
        </w:rPr>
        <w:t>223—14.6</w:t>
      </w:r>
      <w:r>
        <w:rPr>
          <w:rFonts w:ascii="Times New Roman" w:hAnsi="Times New Roman"/>
          <w:b/>
          <w:i w:val="false"/>
          <w:color w:val="000000"/>
          <w:sz w:val="22"/>
        </w:rPr>
        <w:t xml:space="preserve">(303) </w:t>
      </w:r>
      <w:r>
        <w:rPr>
          <w:rFonts w:ascii="Times New Roman" w:hAnsi="Times New Roman"/>
          <w:b/>
          <w:i w:val="false"/>
          <w:color w:val="000000"/>
          <w:sz w:val="22"/>
        </w:rPr>
        <w:t xml:space="preserve">Professional museum principles and practices. </w:t>
      </w:r>
      <w:r>
        <w:rPr>
          <w:rFonts w:ascii="Times New Roman" w:hAnsi="Times New Roman"/>
          <w:b w:val="false"/>
          <w:i w:val="false"/>
          <w:color w:val="000000"/>
          <w:sz w:val="22"/>
        </w:rPr>
        <w:t>The staff of the museum shall actively seek and freely share scholarly knowledge, technical expertise, and exhibition content with other museums.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subchapter II.</w:t>
      </w:r>
    </w:p>
    <w:p>
      <w:pPr>
        <w:spacing w:before="0" w:after="0"/>
        <w:ind w:left="120"/>
        <w:jc w:val="center"/>
      </w:pPr>
      <w:r>
        <w:rPr>
          <w:rFonts w:ascii="Times New Roman" w:hAnsi="Times New Roman"/>
          <w:b w:val="false"/>
          <w:i w:val="false"/>
          <w:color w:val="000000"/>
          <w:sz w:val="21"/>
        </w:rPr>
        <w:t>[Filed 5/12/89, Notice 11/30/88—published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3.2.pdf" Type="http://schemas.openxmlformats.org/officeDocument/2006/relationships/hyperlink" Id="rId5"/>
    <Relationship TargetMode="External" Target="https://www.legis.iowa.gov/docs/ico/chapter/30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