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HISTORICAL SOCIETY—</w:t>
      </w:r>
      <w:r>
        <w:br/>
      </w:r>
      <w:r>
        <w:rPr>
          <w:rFonts w:ascii="Times New Roman" w:hAnsi="Times New Roman"/>
          <w:b w:val="false"/>
          <w:i/>
          <w:color w:val="000000"/>
          <w:sz w:val="16"/>
        </w:rPr>
        <w:t>GENERAL POLICIES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COLLECTIONS POLICIES</w:t>
      </w:r>
    </w:p>
    <w:p>
      <w:pPr>
        <w:spacing w:before="0" w:after="0"/>
        <w:ind w:left="120"/>
        <w:jc w:val="center"/>
      </w:pPr>
      <w:r>
        <w:rPr>
          <w:rFonts w:ascii="Times New Roman" w:hAnsi="Times New Roman"/>
          <w:b w:val="false"/>
          <w:i w:val="false"/>
          <w:color w:val="000000"/>
          <w:sz w:val="14"/>
        </w:rPr>
        <w:t>[Prior to 5/31/89, see [490] 1.8, Ch 5 and [223] 14.1]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223—13.1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society strives to acquire materials on, by, about, of, or representative of Iowa, Iowans, and activities of Iowans. This includes, but is not limited to printed materials, archives, manuscripts, photographs, machine readable data, artifacts, specimens, and works of art.</w:t>
      </w:r>
    </w:p>
    <w:p>
      <w:pPr>
        <w:spacing w:before="0" w:after="0"/>
        <w:ind w:left="120"/>
        <w:jc w:val="both"/>
      </w:pPr>
      <w:r>
        <w:rPr>
          <w:rFonts w:ascii="Times New Roman" w:hAnsi="Times New Roman"/>
          <w:b/>
          <w:i w:val="false"/>
          <w:color w:val="000000"/>
          <w:sz w:val="22"/>
        </w:rPr>
        <w:t>223—13.2</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rules </w:t>
      </w:r>
      <w:hyperlink r:id="rId6">
        <w:r>
          <w:rPr>
            <w:rStyle w:val="Hyperlink"/>
            <w:rFonts w:ascii="Times New Roman" w:hAnsi="Times New Roman"/>
            <w:b w:val="false"/>
            <w:i w:val="false"/>
            <w:color w:val="000000"/>
            <w:sz w:val="22"/>
          </w:rPr>
          <w:t>223—1.2(303)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22.2(303)</w:t>
        </w:r>
      </w:hyperlink>
      <w:r>
        <w:rPr>
          <w:rFonts w:ascii="Times New Roman" w:hAnsi="Times New Roman"/>
          <w:b w:val="false"/>
          <w:i w:val="false"/>
          <w:color w:val="000000"/>
          <w:sz w:val="22"/>
        </w:rPr>
        <w:t xml:space="preserve"> shall apply for terms as they are used throughout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“Accession” </w:t>
      </w:r>
      <w:r>
        <w:rPr>
          <w:rFonts w:ascii="Times New Roman" w:hAnsi="Times New Roman"/>
          <w:b w:val="false"/>
          <w:i w:val="false"/>
          <w:color w:val="000000"/>
          <w:sz w:val="22"/>
        </w:rPr>
        <w:t>means the act of recording or processing an addition to the collections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w:t>
      </w:r>
      <w:r>
        <w:rPr>
          <w:rFonts w:ascii="Times New Roman" w:hAnsi="Times New Roman"/>
          <w:b w:val="false"/>
          <w:i w:val="false"/>
          <w:color w:val="000000"/>
          <w:sz w:val="22"/>
        </w:rPr>
        <w:t>means the act of obtaining legal title to an object or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“Artifact” </w:t>
      </w:r>
      <w:r>
        <w:rPr>
          <w:rFonts w:ascii="Times New Roman" w:hAnsi="Times New Roman"/>
          <w:b w:val="false"/>
          <w:i w:val="false"/>
          <w:color w:val="000000"/>
          <w:sz w:val="22"/>
        </w:rPr>
        <w:t>means a man-made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means an orderly assemblage of man-made or natural objects.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“Deaccession” </w:t>
      </w:r>
      <w:r>
        <w:rPr>
          <w:rFonts w:ascii="Times New Roman" w:hAnsi="Times New Roman"/>
          <w:b w:val="false"/>
          <w:i w:val="false"/>
          <w:color w:val="000000"/>
          <w:sz w:val="22"/>
        </w:rPr>
        <w:t>means the act of removing an object from the collections permanently.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the act of temporarily transferring custody of an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“Specimen” </w:t>
      </w:r>
      <w:r>
        <w:rPr>
          <w:rFonts w:ascii="Times New Roman" w:hAnsi="Times New Roman"/>
          <w:b w:val="false"/>
          <w:i w:val="false"/>
          <w:color w:val="000000"/>
          <w:sz w:val="22"/>
        </w:rPr>
        <w:t>means a natural object.</w:t>
      </w:r>
    </w:p>
    <w:p>
      <w:pPr>
        <w:spacing w:before="210" w:after="0"/>
        <w:ind w:left="120"/>
        <w:jc w:val="both"/>
      </w:pPr>
      <w:r>
        <w:rPr>
          <w:rFonts w:ascii="Times New Roman" w:hAnsi="Times New Roman"/>
          <w:b/>
          <w:i w:val="false"/>
          <w:color w:val="000000"/>
          <w:sz w:val="22"/>
        </w:rPr>
        <w:t>223—13.3</w:t>
      </w:r>
      <w:r>
        <w:rPr>
          <w:rFonts w:ascii="Times New Roman" w:hAnsi="Times New Roman"/>
          <w:b/>
          <w:i w:val="false"/>
          <w:color w:val="000000"/>
          <w:sz w:val="22"/>
        </w:rPr>
        <w:t xml:space="preserve">(303)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Collections of the society are maintained at all facilities operated by the society. Information concerning collections may be obtained by contacting the appropriate staff at the facilities noted in </w:t>
      </w:r>
      <w:hyperlink r:id="rId8">
        <w:r>
          <w:rPr>
            <w:rStyle w:val="Hyperlink"/>
            <w:rFonts w:ascii="Times New Roman" w:hAnsi="Times New Roman"/>
            <w:b w:val="false"/>
            <w:i w:val="false"/>
            <w:color w:val="000000"/>
            <w:sz w:val="22"/>
          </w:rPr>
          <w:t>223—subrule 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223—13.4</w:t>
      </w:r>
      <w:r>
        <w:rPr>
          <w:rFonts w:ascii="Times New Roman" w:hAnsi="Times New Roman"/>
          <w:b/>
          <w:i w:val="false"/>
          <w:color w:val="000000"/>
          <w:sz w:val="22"/>
        </w:rPr>
        <w:t xml:space="preserve">(303) </w:t>
      </w:r>
      <w:r>
        <w:rPr>
          <w:rFonts w:ascii="Times New Roman" w:hAnsi="Times New Roman"/>
          <w:b/>
          <w:i w:val="false"/>
          <w:color w:val="000000"/>
          <w:sz w:val="22"/>
        </w:rPr>
        <w:t xml:space="preserve">Management of collections.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Areas of responsibility. </w:t>
      </w:r>
      <w:r>
        <w:rPr>
          <w:rFonts w:ascii="Times New Roman" w:hAnsi="Times New Roman"/>
          <w:b w:val="false"/>
          <w:i w:val="false"/>
          <w:color w:val="000000"/>
          <w:sz w:val="22"/>
        </w:rPr>
        <w:t>All bureaus may have responsibility for collections care and management and will cooperate with each other on behalf of the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Collections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Responsibilities. The collections committee shall act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and annually review a collecting plan, from staff recommendations, which shall identify primary areas for active solicitation of additional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general parameters, from bureau recommendations, for collecting, within which materials may be collected without further referral to the collections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act on requests from all bureaus concerning potential acquisitions which might involve materials whose care would involve more than one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and act on requests from all bureaus concerning potential major acquisitions that might involve a significant investment of staff time, storage space, or financial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Review and act on requests for restrictions on donations;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Review and act on questions concerning the collections referred to the committee by any member of the staff with the knowledge of the staff person’s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Approve loans requiring extraordinary indemnification;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Approve extraordinary collection access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Approve methods for the disposition of materials anonymously left to the society;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Approve all loans from the collections to government offices except for routine record requests from state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actions of the committee shall become effective within ten working days after the minutes of the committee meeting are received by the administrator, unless an action of the committee is specifically reversed by the administrator in writing to the chair of the committee. The committee may request an earlier decision by the administrator if the nature of the recommended action requires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recommend actions to the administrator of the society for approval and referral to the board of trustees of the society concerning materials to be deaccessioned from the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The committee shall consist of seven members. The members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Archivist from the staff of the society, appointed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Museum curator from the staff of the society, appointed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Librarian from the staff of the society, appointed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programs staff representative from the staff of the society, appointed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Member of the board of trustees, appointed by the president of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Member representing the public appointed by the president of the board of trustees;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One member from the staff, appointed by the administrator of the society. The administrator of the society is an ex officio, nonvoting member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Organization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of the committee shall be appointed for two-year staggered terms which coincide with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committee chair shall be appointed by the administrator of the society from among the committee members who are staff members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on a quarterly basis. The meetings shall be called by the chair. Additional meetings may be called by the petition of any three voting members of the committee.</w:t>
      </w:r>
    </w:p>
    <w:p>
      <w:pPr>
        <w:spacing w:before="0" w:after="0"/>
        <w:ind w:left="120"/>
        <w:jc w:val="both"/>
      </w:pPr>
      <w:r>
        <w:rPr>
          <w:rFonts w:ascii="Times New Roman" w:hAnsi="Times New Roman"/>
          <w:b/>
          <w:i w:val="false"/>
          <w:color w:val="000000"/>
          <w:sz w:val="22"/>
        </w:rPr>
        <w:t>223—13.5</w:t>
      </w:r>
      <w:r>
        <w:rPr>
          <w:rFonts w:ascii="Times New Roman" w:hAnsi="Times New Roman"/>
          <w:b/>
          <w:i w:val="false"/>
          <w:color w:val="000000"/>
          <w:sz w:val="22"/>
        </w:rPr>
        <w:t xml:space="preserve">(303) </w:t>
      </w:r>
      <w:r>
        <w:rPr>
          <w:rFonts w:ascii="Times New Roman" w:hAnsi="Times New Roman"/>
          <w:b/>
          <w:i w:val="false"/>
          <w:color w:val="000000"/>
          <w:sz w:val="22"/>
        </w:rPr>
        <w:t xml:space="preserve">Acquisition.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General policy. </w:t>
      </w:r>
      <w:r>
        <w:rPr>
          <w:rFonts w:ascii="Times New Roman" w:hAnsi="Times New Roman"/>
          <w:b w:val="false"/>
          <w:i w:val="false"/>
          <w:color w:val="000000"/>
          <w:sz w:val="22"/>
        </w:rPr>
        <w:t xml:space="preserve">The following general policies apply to all areas of the collections. More specific policies for the state archives are noted in subrule </w:t>
      </w:r>
      <w:hyperlink r:id="rId9">
        <w:r>
          <w:rPr>
            <w:rStyle w:val="Hyperlink"/>
            <w:rFonts w:ascii="Times New Roman" w:hAnsi="Times New Roman"/>
            <w:b w:val="false"/>
            <w:i w:val="false"/>
            <w:color w:val="000000"/>
            <w:sz w:val="22"/>
          </w:rPr>
          <w:t>13.5(2)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society may acquire materials by gift, bequest, transfer,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staff of the society shall evaluate potential acquisitions for their relevance to the collections, research, exhibit, educational, intrinsic, historical, or scientific importance, physical condition, relationship to the annual collecting priorities established by the collections committee, and impact upon the operations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to all donations shall be outright. Certain restrictions on access may be considered by the collections committee. The society shall make no commitments as to the exhibition, attribution, or use of the gift.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deed of gift documenting the legal transfer of the gift to the society and the acceptance of that gift shall be signed by the legal owner or the owner’s authorized agent and the appropriate authorized agent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Materials left anonymously in the custody of the society shall be evaluated for possible accession into the collections.</w:t>
      </w:r>
    </w:p>
    <w:p>
      <w:pPr>
        <w:spacing w:before="0" w:after="0"/>
        <w:ind w:left="120"/>
        <w:jc w:val="both"/>
      </w:pPr>
      <w:r>
        <w:rPr>
          <w:rFonts w:ascii="Times New Roman" w:hAnsi="Times New Roman"/>
          <w:b w:val="false"/>
          <w:i w:val="false"/>
          <w:color w:val="000000"/>
          <w:sz w:val="22"/>
        </w:rPr>
        <w:t>If the materials are to be accessioned into the collections, the materials shall be documented by the appropriate authorized agent of the society. The documentation shall describe the circumstances pertaining to the acquisition.</w:t>
      </w:r>
    </w:p>
    <w:p>
      <w:pPr>
        <w:spacing w:before="0" w:after="0"/>
        <w:ind w:left="120"/>
        <w:jc w:val="both"/>
      </w:pPr>
      <w:r>
        <w:rPr>
          <w:rFonts w:ascii="Times New Roman" w:hAnsi="Times New Roman"/>
          <w:b w:val="false"/>
          <w:i w:val="false"/>
          <w:color w:val="000000"/>
          <w:sz w:val="22"/>
        </w:rPr>
        <w:t>If the materials are not to be accessioned into the collections, disposition of the materials shall be determined by the collections committee upon the recommendation of the appropriate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Bequests of which the society has not been apprised shall be considered as unsolicited materials and evaluated in the same manner as any other unsolicited gift.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Title to undocumented collections in the possession of the society or unclaimed loans in the possession of the society shall be handled in accordance with Iowa Code chapter </w:t>
      </w:r>
      <w:hyperlink r:id="rId10">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staff of the society shall not appraise collections for financial value. The society shall not pay for nor reimburse a donor for such appraisal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State archives. </w:t>
      </w:r>
      <w:r>
        <w:rPr>
          <w:rFonts w:ascii="Times New Roman" w:hAnsi="Times New Roman"/>
          <w:b w:val="false"/>
          <w:i w:val="false"/>
          <w:color w:val="000000"/>
          <w:sz w:val="22"/>
        </w:rPr>
        <w:t xml:space="preserve">Records of state agencies shall be transferred to the state archives of the society, in accordance with the rules and procedures established by the state records commission as stated in the Records Management Manual and in accordance with Iowa Code chapter </w:t>
      </w:r>
      <w:hyperlink r:id="rId11">
        <w:r>
          <w:rPr>
            <w:rStyle w:val="Hyperlink"/>
            <w:rFonts w:ascii="Times New Roman" w:hAnsi="Times New Roman"/>
            <w:b w:val="false"/>
            <w:i w:val="false"/>
            <w:color w:val="000000"/>
            <w:sz w:val="22"/>
          </w:rPr>
          <w:t>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223—13.6</w:t>
      </w:r>
      <w:r>
        <w:rPr>
          <w:rFonts w:ascii="Times New Roman" w:hAnsi="Times New Roman"/>
          <w:b/>
          <w:i w:val="false"/>
          <w:color w:val="000000"/>
          <w:sz w:val="22"/>
        </w:rPr>
        <w:t xml:space="preserve">(303) </w:t>
      </w:r>
      <w:r>
        <w:rPr>
          <w:rFonts w:ascii="Times New Roman" w:hAnsi="Times New Roman"/>
          <w:b/>
          <w:i w:val="false"/>
          <w:color w:val="000000"/>
          <w:sz w:val="22"/>
        </w:rPr>
        <w:t xml:space="preserve">Deaccession.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Deaccession of materials shall be undertaken only as a means of strengthening and benefiting the collections of the society. Deaccession shall not be used to generate operating funds for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Ethics.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Deaccession of materials shall be undertaken in an open, public manner conforming to all appropriate ethics statements of the appropriate professional organizations. The society and its employees shall conform to all appropriate professional ethics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no circumstance shall the ownership of deaccessioned materials be transferred to or benefit any trustee, employee, spouse or immediate family member of an employee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Individual objects or documents or groups of objects or documents may be deaccessioned from the collections of the society if they: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no longer deemed relevant and appropriate for the collections;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deteriorated beyond repair and usefulness;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Pose danger to other parts of the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appropriate bureau chief shall recommend, with written justification, to the collections committee the materials to be deaccessioned. The collections committee shall evaluate the recommendation at its next meeting and, if the committee approves the recommendation, forward the recommendation with all appropriate documentation and comments to the administrator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of the society shall approve or disapprove all recommendations for deaccession of materials by the collections committee and shall forward all approved recommendations with comments to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of trustees shall review all recommendations for deaccession at the next meeting. No materials shall be deaccessioned without the approval of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 for disposition of the deaccessioned materials shall be recommended by the bureau chief and approved by the collections committee, administrator of the society, and the board of trustees. The methods for disposition of the deaccessioned materials include, but are not limited to,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Exchange with other educational institutions to strengthen the collections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Donation to another educational institution which may make the materials generally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 at public auction or other appropriate means;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written record of deaccession recommendations, justifications, decisions, and methods used for removal of the materials shall be maintained as a permanent record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Revenue received from disposition of any collection shall be retained in a separate revenue account. This revenue shall be used solely to maintain, conserve, preserve, and strengthen the collections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consideration of the deaccession of undocumented materials or unclaimed loans, the title shall be cleared in accordance with Iowa Code chapter </w:t>
      </w:r>
      <w:hyperlink r:id="rId12">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Collections which are donated to and accessioned by the society shall not be deaccessioned for a period of two years after accessioning into the collections.</w:t>
      </w:r>
    </w:p>
    <w:p>
      <w:pPr>
        <w:spacing w:before="0" w:after="0"/>
        <w:ind w:left="120"/>
        <w:jc w:val="both"/>
      </w:pPr>
      <w:r>
        <w:rPr>
          <w:rFonts w:ascii="Times New Roman" w:hAnsi="Times New Roman"/>
          <w:b/>
          <w:i w:val="false"/>
          <w:color w:val="000000"/>
          <w:sz w:val="22"/>
        </w:rPr>
        <w:t>223—13.7</w:t>
      </w:r>
      <w:r>
        <w:rPr>
          <w:rFonts w:ascii="Times New Roman" w:hAnsi="Times New Roman"/>
          <w:b/>
          <w:i w:val="false"/>
          <w:color w:val="000000"/>
          <w:sz w:val="22"/>
        </w:rPr>
        <w:t xml:space="preserve">(303) </w:t>
      </w:r>
      <w:r>
        <w:rPr>
          <w:rFonts w:ascii="Times New Roman" w:hAnsi="Times New Roman"/>
          <w:b/>
          <w:i w:val="false"/>
          <w:color w:val="000000"/>
          <w:sz w:val="22"/>
        </w:rPr>
        <w:t xml:space="preserve">Documentation and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 collection records shall be maintained to document the acquisition, accession, deaccession, care, conservation, interpretation, location, and exhibition of all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collections documentation shall be maintained in accordance with Iowa Code chapter </w:t>
      </w:r>
      <w:hyperlink r:id="rId13">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Collections records shall be protected, insofar as possible, from destruction by creating duplicate files to be stored in an off-site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The society shall apply professionally accepted methods of storage, treatment, care, conservation, preservation, research, and exhibition. The society shall make every effort to ensure adequate preservation through obtaining of adequate preservation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Inventories, catalogs, and other finding aids shall be made available to the public as staff availability and society funds are obtained.</w:t>
      </w:r>
    </w:p>
    <w:p>
      <w:pPr>
        <w:spacing w:before="0" w:after="0"/>
        <w:ind w:left="120"/>
        <w:jc w:val="both"/>
      </w:pPr>
      <w:r>
        <w:rPr>
          <w:rFonts w:ascii="Times New Roman" w:hAnsi="Times New Roman"/>
          <w:b/>
          <w:i w:val="false"/>
          <w:color w:val="000000"/>
          <w:sz w:val="22"/>
        </w:rPr>
        <w:t>223—13.8</w:t>
      </w:r>
      <w:r>
        <w:rPr>
          <w:rFonts w:ascii="Times New Roman" w:hAnsi="Times New Roman"/>
          <w:b/>
          <w:i w:val="false"/>
          <w:color w:val="000000"/>
          <w:sz w:val="22"/>
        </w:rPr>
        <w:t xml:space="preserve">(303) </w:t>
      </w:r>
      <w:r>
        <w:rPr>
          <w:rFonts w:ascii="Times New Roman" w:hAnsi="Times New Roman"/>
          <w:b/>
          <w:i w:val="false"/>
          <w:color w:val="000000"/>
          <w:sz w:val="22"/>
        </w:rPr>
        <w:t xml:space="preserve">Lending.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color w:val="000000"/>
          <w:sz w:val="22"/>
        </w:rPr>
        <w:t xml:space="preserve">General policy. </w:t>
      </w:r>
      <w:r>
        <w:rPr>
          <w:rFonts w:ascii="Times New Roman" w:hAnsi="Times New Roman"/>
          <w:b w:val="false"/>
          <w:i w:val="false"/>
          <w:color w:val="000000"/>
          <w:sz w:val="22"/>
        </w:rPr>
        <w:t>The following general policies apply to all areas of the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society encourages maximum public access to its collections by making loans which are consistent with the long-term conservation and preservation of the collections and with the needs of the society for exhibit and research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Loans from the collections shall be made for educational and scholarly purposes consistent with the mission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Collections shall not be loaned to individuals except for natural history specimens lacking provenance which may be loaned to individuals for educational purposes with the approval of the curator of natural history and the bureau chief of the museum. All applications for use of natural history specimens may be directed to the Curator of Natural History, State Historical Society of Iowa, Capitol Complex, Des Moines, Iowa 50319, (515)281-5627.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loans shall be for a specified period of time and shall be documented and monitored by the appropriate staff person approving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color w:val="000000"/>
          <w:sz w:val="22"/>
        </w:rPr>
        <w:t xml:space="preserve">Specific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Interlibrary loans shall provide access to the collections through cooperating libraries.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interlibrary loan shall be submitted on the standard American Library Association Interlibrary Loan Form and in accordance with the American Library Association’s Interlibrary Loan Code. The requests shall be honored unless the loan is inappropriate due to legal or curatorial considerations or the materials can be readily obtained elsewhere. Requests for interlibrary loan shall be directed to the Reference Librarian, State Historical Society of Iowa, Centennial Building, 402 Iowa Avenue, Iowa City, Iowa 52240, (319)335-3916 or Reference Librarian, Library and Archives, State Historical Society of Iowa, Capitol Complex, Des Moines, Iowa 50319, (515)281-6200.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Original manuscripts, maps, photographs, state archives records and rare books shall not be loaned for research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society shall make every effort consistent with professional standards and ethics and within their financial resources to provide a microform or other copy of rare, unique, and heavily used library and archives materials for loan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loan of artifacts from the museum collections shall be approved and managed by the museum. All applications shall be in writing and include a current facilities report from the borrowing institution. Applications for loan and questions may be directed to the Chief Curator, State Historical Society of Iowa, Capitol Complex, Des Moines, Iowa 50319, (515)281-5111.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those artifacts in stable, presentable condition shall be considered for loan unless conservation treatment for the object is a condition of the loan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artifact loans shall be approved by the appropriate curator, chief curator, conservator, and the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loan of artifacts to the society shall be accepted and managed by the museum. All questions related to loans may be directed to the Chief Curator, State Historical Society of Iowa, Capitol Complex, Des Moines, Iowa 50319, (515)281-5111.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Loans shall be accepted only to meet the society’s objectives for exhibition or research. The society shall not provide free storage, conservation treatment, or validate private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loans to the society shall receive the highest standard of professional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Unclaimed loans left in the care of the society shall be handled in accordance with Iowa Code chapter </w:t>
      </w:r>
      <w:hyperlink r:id="rId14">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223—13.9</w:t>
      </w:r>
      <w:r>
        <w:rPr>
          <w:rFonts w:ascii="Times New Roman" w:hAnsi="Times New Roman"/>
          <w:b/>
          <w:i w:val="false"/>
          <w:color w:val="000000"/>
          <w:sz w:val="22"/>
        </w:rPr>
        <w:t xml:space="preserve">(303) </w:t>
      </w:r>
      <w:r>
        <w:rPr>
          <w:rFonts w:ascii="Times New Roman" w:hAnsi="Times New Roman"/>
          <w:b/>
          <w:i w:val="false"/>
          <w:color w:val="000000"/>
          <w:sz w:val="22"/>
        </w:rPr>
        <w:t xml:space="preserve">Access and disclosure. </w:t>
      </w:r>
      <w:r>
        <w:rPr>
          <w:rFonts w:ascii="Times New Roman" w:hAnsi="Times New Roman"/>
          <w:b w:val="false"/>
          <w:i w:val="false"/>
          <w:color w:val="000000"/>
          <w:sz w:val="22"/>
        </w:rPr>
        <w:t xml:space="preserve">The collections of the society shall be available for public study in accordance with </w:t>
      </w:r>
      <w:hyperlink r:id="rId15">
        <w:r>
          <w:rPr>
            <w:rStyle w:val="Hyperlink"/>
            <w:rFonts w:ascii="Times New Roman" w:hAnsi="Times New Roman"/>
            <w:b w:val="false"/>
            <w:i w:val="false"/>
            <w:color w:val="000000"/>
            <w:sz w:val="22"/>
          </w:rPr>
          <w:t>223—22.2(303)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303.1A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303.4 to 303.18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7/2/75]</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5/12/89, Notice 1/11/89—published 5/31/89, effective 7/5/89]</w:t>
      </w:r>
    </w:p>
    <w:p>
      <w:pPr>
        <w:spacing w:before="0" w:after="0"/>
        <w:ind w:left="120"/>
        <w:jc w:val="center"/>
      </w:pPr>
      <w:r>
        <w:rPr>
          <w:rFonts w:ascii="Times New Roman" w:hAnsi="Times New Roman"/>
          <w:b w:val="false"/>
          <w:i w:val="false"/>
          <w:color w:val="000000"/>
          <w:sz w:val="21"/>
        </w:rPr>
        <w:t>[Filed 6/21/91, Notice 3/20/91—published 7/10/91, effective 8/14/91]</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223.1.2.pdf" Type="http://schemas.openxmlformats.org/officeDocument/2006/relationships/hyperlink" Id="rId6"/>
    <Relationship TargetMode="External" Target="https://www.legis.iowa.gov/docs/iac/rule/223.22.2.pdf" Type="http://schemas.openxmlformats.org/officeDocument/2006/relationships/hyperlink" Id="rId7"/>
    <Relationship TargetMode="External" Target="https://www.legis.iowa.gov/docs/iac/rule/223.1.5.pdf" Type="http://schemas.openxmlformats.org/officeDocument/2006/relationships/hyperlink" Id="rId8"/>
    <Relationship TargetMode="External" Target="https://www.legis.iowa.gov/docs/iac/rule/223.13.5.pdf" Type="http://schemas.openxmlformats.org/officeDocument/2006/relationships/hyperlink" Id="rId9"/>
    <Relationship TargetMode="External" Target="https://www.legis.iowa.gov/docs/ico/chapter/305B.pdf" Type="http://schemas.openxmlformats.org/officeDocument/2006/relationships/hyperlink" Id="rId10"/>
    <Relationship TargetMode="External" Target="https://www.legis.iowa.gov/docs/ico/chapter/304.pdf" Type="http://schemas.openxmlformats.org/officeDocument/2006/relationships/hyperlink" Id="rId11"/>
    <Relationship TargetMode="External" Target="https://www.legis.iowa.gov/docs/ico/chapter/305B.pdf" Type="http://schemas.openxmlformats.org/officeDocument/2006/relationships/hyperlink" Id="rId12"/>
    <Relationship TargetMode="External" Target="https://www.legis.iowa.gov/docs/ico/chapter/305B.pdf" Type="http://schemas.openxmlformats.org/officeDocument/2006/relationships/hyperlink" Id="rId13"/>
    <Relationship TargetMode="External" Target="https://www.legis.iowa.gov/docs/ico/chapter/305B.pdf" Type="http://schemas.openxmlformats.org/officeDocument/2006/relationships/hyperlink" Id="rId14"/>
    <Relationship TargetMode="External" Target="https://www.legis.iowa.gov/docs/iac/rule/223.22.2.pdf" Type="http://schemas.openxmlformats.org/officeDocument/2006/relationships/hyperlink" Id="rId15"/>
    <Relationship TargetMode="External" Target="https://www.legis.iowa.gov/docs/ico/chapter/303.1A.pdf" Type="http://schemas.openxmlformats.org/officeDocument/2006/relationships/hyperlink" Id="rId16"/>
    <Relationship TargetMode="External" Target="https://www.legis.iowa.gov/docs/ico/chapter/303.2.pdf" Type="http://schemas.openxmlformats.org/officeDocument/2006/relationships/hyperlink" Id="rId17"/>
    <Relationship TargetMode="External" Target="https://www.legis.iowa.gov/docs/ico/chapter/303.4-1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