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 SOCIETY PROCEDURES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20"/>
        </w:rPr>
        <w:t>[Prior to 5/31/89, see Historical Department[490] Chs 1, 2, 5, 10 and Historical Division[223]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223—1.1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purposes of the society; the service locations; internal organization; and the board of trustees of the society.</w:t>
      </w:r>
    </w:p>
    <w:p>
      <w:pPr>
        <w:spacing w:before="0" w:after="0"/>
        <w:ind w:left="120"/>
        <w:jc w:val="both"/>
      </w:pPr>
      <w:r>
        <w:rPr>
          <w:rFonts w:ascii="Times New Roman" w:hAnsi="Times New Roman"/>
          <w:b/>
          <w:i w:val="false"/>
          <w:color w:val="000000"/>
          <w:sz w:val="22"/>
        </w:rPr>
        <w:t>223—1.2</w:t>
      </w:r>
      <w:r>
        <w:rPr>
          <w:rFonts w:ascii="Times New Roman" w:hAnsi="Times New Roman"/>
          <w:b/>
          <w:i w:val="false"/>
          <w:color w:val="000000"/>
          <w:sz w:val="22"/>
        </w:rPr>
        <w:t xml:space="preserve">(17A,303)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shall apply for terms as they are used in </w:t>
      </w:r>
      <w:hyperlink r:id="rId6">
        <w:r>
          <w:rPr>
            <w:rStyle w:val="Hyperlink"/>
            <w:rFonts w:ascii="Times New Roman" w:hAnsi="Times New Roman"/>
            <w:b w:val="false"/>
            <w:i w:val="false"/>
            <w:color w:val="000000"/>
            <w:sz w:val="22"/>
          </w:rPr>
          <w:t>223—Chapters 1</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administrator of the historical division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trustees of the society”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12-member advisory board of the historical division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“Bureau”</w:t>
      </w:r>
      <w:r>
        <w:rPr>
          <w:rFonts w:ascii="Times New Roman" w:hAnsi="Times New Roman"/>
          <w:b w:val="false"/>
          <w:i w:val="false"/>
          <w:color w:val="000000"/>
          <w:sz w:val="22"/>
        </w:rPr>
        <w:t> </w:t>
      </w:r>
      <w:r>
        <w:rPr>
          <w:rFonts w:ascii="Times New Roman" w:hAnsi="Times New Roman"/>
          <w:b w:val="false"/>
          <w:i w:val="false"/>
          <w:color w:val="000000"/>
          <w:sz w:val="22"/>
        </w:rPr>
        <w:t>means a subdivision within the historical division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“Historical division”</w:t>
      </w:r>
      <w:r>
        <w:rPr>
          <w:rFonts w:ascii="Times New Roman" w:hAnsi="Times New Roman"/>
          <w:b w:val="false"/>
          <w:i w:val="false"/>
          <w:color w:val="000000"/>
          <w:sz w:val="22"/>
        </w:rPr>
        <w:t> </w:t>
      </w:r>
      <w:r>
        <w:rPr>
          <w:rFonts w:ascii="Times New Roman" w:hAnsi="Times New Roman"/>
          <w:b w:val="false"/>
          <w:i w:val="false"/>
          <w:color w:val="000000"/>
          <w:sz w:val="22"/>
        </w:rPr>
        <w:t>means the division of the department of cultural affairs, also termed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“Society”</w:t>
      </w:r>
      <w:r>
        <w:rPr>
          <w:rFonts w:ascii="Times New Roman" w:hAnsi="Times New Roman"/>
          <w:b w:val="false"/>
          <w:i w:val="false"/>
          <w:color w:val="000000"/>
          <w:sz w:val="22"/>
        </w:rPr>
        <w:t> </w:t>
      </w:r>
      <w:r>
        <w:rPr>
          <w:rFonts w:ascii="Times New Roman" w:hAnsi="Times New Roman"/>
          <w:b w:val="false"/>
          <w:i w:val="false"/>
          <w:color w:val="000000"/>
          <w:sz w:val="22"/>
        </w:rPr>
        <w:t>means the state historical society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“Trustees”</w:t>
      </w:r>
      <w:r>
        <w:rPr>
          <w:rFonts w:ascii="Times New Roman" w:hAnsi="Times New Roman"/>
          <w:b w:val="false"/>
          <w:i w:val="false"/>
          <w:color w:val="000000"/>
          <w:sz w:val="22"/>
        </w:rPr>
        <w:t> </w:t>
      </w:r>
      <w:r>
        <w:rPr>
          <w:rFonts w:ascii="Times New Roman" w:hAnsi="Times New Roman"/>
          <w:b w:val="false"/>
          <w:i w:val="false"/>
          <w:color w:val="000000"/>
          <w:sz w:val="22"/>
        </w:rPr>
        <w:t>means the board of trustees of the society.</w:t>
      </w:r>
    </w:p>
    <w:p>
      <w:pPr>
        <w:spacing w:before="0" w:after="0"/>
        <w:ind w:left="120"/>
        <w:jc w:val="both"/>
      </w:pPr>
      <w:r>
        <w:rPr>
          <w:rFonts w:ascii="Times New Roman" w:hAnsi="Times New Roman"/>
          <w:b/>
          <w:i w:val="false"/>
          <w:color w:val="000000"/>
          <w:sz w:val="22"/>
        </w:rPr>
        <w:t>223—1.3</w:t>
      </w:r>
      <w:r>
        <w:rPr>
          <w:rFonts w:ascii="Times New Roman" w:hAnsi="Times New Roman"/>
          <w:b/>
          <w:i w:val="false"/>
          <w:color w:val="000000"/>
          <w:sz w:val="22"/>
        </w:rPr>
        <w:t xml:space="preserve">(303) </w:t>
      </w:r>
      <w:r>
        <w:rPr>
          <w:rFonts w:ascii="Times New Roman" w:hAnsi="Times New Roman"/>
          <w:b/>
          <w:i w:val="false"/>
          <w:color w:val="000000"/>
          <w:sz w:val="22"/>
        </w:rPr>
        <w:t xml:space="preserve">Mission statement. </w:t>
      </w:r>
      <w:r>
        <w:rPr>
          <w:rFonts w:ascii="Times New Roman" w:hAnsi="Times New Roman"/>
          <w:b w:val="false"/>
          <w:i w:val="false"/>
          <w:color w:val="000000"/>
          <w:sz w:val="22"/>
        </w:rPr>
        <w:t>The state historical society of Iowa has a dual mission of preservation and education. As a trustee of Iowa’s historical legacy, the state historical society of Iowa identifies, records, collects, preserves, manages, and provides access to Iowa’s historical resources. As an advocate of understanding Iowa’s past, the state historical society of Iowa educates Iowans of all ages, conducts and stimulates research, disseminates information, and encourages and supports historical preservation and education efforts of others throughout the state.</w:t>
      </w:r>
    </w:p>
    <w:p>
      <w:pPr>
        <w:spacing w:before="0" w:after="0"/>
        <w:ind w:left="120"/>
        <w:jc w:val="both"/>
      </w:pPr>
      <w:r>
        <w:rPr>
          <w:rFonts w:ascii="Times New Roman" w:hAnsi="Times New Roman"/>
          <w:b w:val="false"/>
          <w:i w:val="false"/>
          <w:color w:val="000000"/>
          <w:sz w:val="22"/>
        </w:rPr>
        <w:t>The state historical society of Iowa is the state agency created and empowered by the general assembly as the official trustee of Iowa’s human heritage. The society has the responsibility and authority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Identify, record, collect, preserve, and manage the manifestations of Iowa’s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Interpret and disseminate Iowa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Conduct, stimulate, produce, and share scholarly research on Iowa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Promote and coordinate the teaching of Iowa history;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Advocate the preservation and stewardship of Iowa’s historical resources;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Enter into agreements with nonprofit corporations to undertake activities of benefit to the society.</w:t>
      </w:r>
    </w:p>
    <w:p>
      <w:pPr>
        <w:spacing w:before="0" w:after="0"/>
        <w:ind w:left="120"/>
        <w:jc w:val="both"/>
      </w:pPr>
      <w:r>
        <w:rPr>
          <w:rFonts w:ascii="Times New Roman" w:hAnsi="Times New Roman"/>
          <w:b/>
          <w:i w:val="false"/>
          <w:color w:val="000000"/>
          <w:sz w:val="22"/>
        </w:rPr>
        <w:t>223—1.4</w:t>
      </w:r>
      <w:r>
        <w:rPr>
          <w:rFonts w:ascii="Times New Roman" w:hAnsi="Times New Roman"/>
          <w:b/>
          <w:i w:val="false"/>
          <w:color w:val="000000"/>
          <w:sz w:val="22"/>
        </w:rPr>
        <w:t xml:space="preserve">(303)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The administrator of the society is appointed by the director of the department of cultural affairs and serves at the director’s pleasure. In accordance with Iowa Code section </w:t>
      </w:r>
      <w:hyperlink r:id="rId8">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(2c), the administrator serves as the state historic preservation officer. The administrator selects all society personnel and manages the operation of all society programs and facilities. The administrator operates from offices located at the State Historical Building, 600 East Locust Street,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Bureaus. </w:t>
      </w:r>
      <w:r>
        <w:rPr>
          <w:rFonts w:ascii="Times New Roman" w:hAnsi="Times New Roman"/>
          <w:b w:val="false"/>
          <w:i w:val="false"/>
          <w:color w:val="000000"/>
          <w:sz w:val="22"/>
        </w:rPr>
        <w:t>The society may organize its activities into any number of bureaus.</w:t>
      </w:r>
    </w:p>
    <w:p>
      <w:pPr>
        <w:spacing w:before="0" w:after="0"/>
        <w:ind w:left="120"/>
        <w:jc w:val="both"/>
      </w:pPr>
      <w:r>
        <w:rPr>
          <w:rFonts w:ascii="Times New Roman" w:hAnsi="Times New Roman"/>
          <w:b/>
          <w:i w:val="false"/>
          <w:color w:val="000000"/>
          <w:sz w:val="22"/>
        </w:rPr>
        <w:t>223—1.5</w:t>
      </w:r>
      <w:r>
        <w:rPr>
          <w:rFonts w:ascii="Times New Roman" w:hAnsi="Times New Roman"/>
          <w:b/>
          <w:i w:val="false"/>
          <w:color w:val="000000"/>
          <w:sz w:val="22"/>
        </w:rPr>
        <w:t xml:space="preserve">(303) </w:t>
      </w:r>
      <w:r>
        <w:rPr>
          <w:rFonts w:ascii="Times New Roman" w:hAnsi="Times New Roman"/>
          <w:b/>
          <w:i w:val="false"/>
          <w:color w:val="000000"/>
          <w:sz w:val="22"/>
        </w:rPr>
        <w:t xml:space="preserve">Facilities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society operates two major facilities: The State Historical Building, 600 East Locust Street, Des Moines, Iowa 50319, and the Centennial Building, 402 Iowa Avenue, Iowa City, Iowa 52240.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society also operates eight historic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Abbie Gardner Sharp Cabin, Arnolds Park, Iowa 51331;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American Gothic House, Eldon, Iowa 52554;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Blood Run National Historic Landmark, Inwood, Iowa 51240;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Matthew Edel Blacksmith Shop, Haverhill, Iowa 50120;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Montauk, Union Sunday School, and Clermont Museum, Clermont, Iowa 52135;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Plum Grove, Iowa City, Iowa 52240;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Toolesboro Mounds National Historic Landmark, Wapello, Iowa 52653;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Western Historic Trails Center, 3434 Richard Downing Avenue, Council Bluffs, Iowa 51501.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Internet website. </w:t>
      </w:r>
      <w:r>
        <w:rPr>
          <w:rFonts w:ascii="Times New Roman" w:hAnsi="Times New Roman"/>
          <w:b w:val="false"/>
          <w:i w:val="false"/>
          <w:color w:val="000000"/>
          <w:sz w:val="22"/>
        </w:rPr>
        <w:t xml:space="preserve">The society’s Internet home page is located at </w:t>
      </w:r>
      <w:hyperlink r:id="rId9">
        <w:r>
          <w:rPr>
            <w:rStyle w:val="Hyperlink"/>
            <w:rFonts w:ascii="Times New Roman" w:hAnsi="Times New Roman"/>
            <w:b w:val="false"/>
            <w:i w:val="false"/>
            <w:color w:val="000000"/>
            <w:sz w:val="22"/>
            <w:u w:val="single"/>
          </w:rPr>
          <w:t>www.iowahistory.org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Hours and days of operation. </w:t>
      </w:r>
      <w:r>
        <w:rPr>
          <w:rFonts w:ascii="Times New Roman" w:hAnsi="Times New Roman"/>
          <w:b w:val="false"/>
          <w:i w:val="false"/>
          <w:color w:val="000000"/>
          <w:sz w:val="22"/>
        </w:rPr>
        <w:t>Public hours and days of operation shall be posted at each society facility and on the society’s Internet website. The hours for all facilities shall be approved by the director, or designee, upon recommendation of the administrator. Changes in the hours for a facility shall be effective upon 30 days’ notice 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may be charged and collected by the society and shall be administered according to Iowa Code section </w:t>
      </w:r>
      <w:hyperlink r:id="rId10">
        <w:r>
          <w:rPr>
            <w:rStyle w:val="Hyperlink"/>
            <w:rFonts w:ascii="Times New Roman" w:hAnsi="Times New Roman"/>
            <w:b w:val="false"/>
            <w:i w:val="false"/>
            <w:color w:val="000000"/>
            <w:sz w:val="22"/>
          </w:rPr>
          <w:t>303.9</w:t>
        </w:r>
      </w:hyperlink>
      <w:r>
        <w:rPr>
          <w:rFonts w:ascii="Times New Roman" w:hAnsi="Times New Roman"/>
          <w:b w:val="false"/>
          <w:i w:val="false"/>
          <w:color w:val="000000"/>
          <w:sz w:val="22"/>
        </w:rPr>
        <w:t>. Fees may be charged for, but are not limited to: facilities rental; group tours; educational programs; speaking engagements; photocopying and document reproduction; census searches; photographic searches and reproduction; electronic distribution of materials; rights to publish; conservation and consultation services; artifact and specimen identification and reference; vital records searches and verification; reference, consultation and technical services; research and application processing; admissions; memberships; and subscriptions.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Facilities use. </w:t>
      </w:r>
      <w:r>
        <w:rPr>
          <w:rFonts w:ascii="Times New Roman" w:hAnsi="Times New Roman"/>
          <w:b w:val="false"/>
          <w:i w:val="false"/>
          <w:color w:val="000000"/>
          <w:sz w:val="22"/>
        </w:rPr>
        <w:t xml:space="preserve">Resource protection is the underlying principle guiding the use of society facilities. This subrule sets forth conditions of public use which apply to all society facilities. Additional restrictions or exceptions pertain to specific facilities as listed in </w:t>
      </w:r>
      <w:hyperlink r:id="rId11">
        <w:r>
          <w:rPr>
            <w:rStyle w:val="Hyperlink"/>
            <w:rFonts w:ascii="Times New Roman" w:hAnsi="Times New Roman"/>
            <w:b w:val="false"/>
            <w:i w:val="false"/>
            <w:color w:val="000000"/>
            <w:sz w:val="22"/>
          </w:rPr>
          <w:t>subrule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Individuals and groups. </w:t>
      </w:r>
      <w:r>
        <w:rPr>
          <w:rFonts w:ascii="Times New Roman" w:hAnsi="Times New Roman"/>
          <w:b w:val="false"/>
          <w:i w:val="false"/>
          <w:color w:val="000000"/>
          <w:sz w:val="22"/>
        </w:rPr>
        <w:t>All facilities of the society are open to individuals in accordance with the posted schedule. Groups may arrange for educational programs and group tours by contacting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Facility rentals. </w:t>
      </w:r>
      <w:r>
        <w:rPr>
          <w:rFonts w:ascii="Times New Roman" w:hAnsi="Times New Roman"/>
          <w:b w:val="false"/>
          <w:i w:val="false"/>
          <w:color w:val="000000"/>
          <w:sz w:val="22"/>
        </w:rPr>
        <w:t>Certain facilities of the society are available for rental. An individual or group renting a society facility shall be liable for all damage to the facility. The renter shall be billed for the cost of repairs, extraordinary cleaning, and, if necessary, the collection of costs related to any damage caused during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Pets. </w:t>
      </w:r>
      <w:r>
        <w:rPr>
          <w:rFonts w:ascii="Times New Roman" w:hAnsi="Times New Roman"/>
          <w:b w:val="false"/>
          <w:i w:val="false"/>
          <w:color w:val="000000"/>
          <w:sz w:val="22"/>
        </w:rPr>
        <w:t>With the exception of those assisting the deaf and hard of hearing or visually impaired, pets shall be prohibited in society buildings. All pets on the grounds of any society facility shall be on a leash and under the direct supervision of the owner. The owner assumes all liability for pets brought onto the grounds of a society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Smoking shall be prohibited in all society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Food and drink. </w:t>
      </w:r>
      <w:r>
        <w:rPr>
          <w:rFonts w:ascii="Times New Roman" w:hAnsi="Times New Roman"/>
          <w:b w:val="false"/>
          <w:i w:val="false"/>
          <w:color w:val="000000"/>
          <w:sz w:val="22"/>
        </w:rPr>
        <w:t>Consumption of food and beverages shall be prohibited in all society facilities except in specific areas designated by the director, or designee, upon recommendation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Camping. </w:t>
      </w:r>
      <w:r>
        <w:rPr>
          <w:rFonts w:ascii="Times New Roman" w:hAnsi="Times New Roman"/>
          <w:b w:val="false"/>
          <w:i w:val="false"/>
          <w:color w:val="000000"/>
          <w:sz w:val="22"/>
        </w:rPr>
        <w:t>Camping shall be prohibited at all society facilities, except for special events approved by the director, or designee, upon recommendation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Use of specific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Historical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operations are in accordance with </w:t>
      </w:r>
      <w:hyperlink r:id="rId12">
        <w:r>
          <w:rPr>
            <w:rStyle w:val="Hyperlink"/>
            <w:rFonts w:ascii="Times New Roman" w:hAnsi="Times New Roman"/>
            <w:b w:val="false"/>
            <w:i w:val="false"/>
            <w:color w:val="000000"/>
            <w:sz w:val="22"/>
          </w:rPr>
          <w:t>11—subrule 100.4(3)</w:t>
        </w:r>
      </w:hyperlink>
      <w:r>
        <w:rPr>
          <w:rFonts w:ascii="Times New Roman" w:hAnsi="Times New Roman"/>
          <w:b w:val="false"/>
          <w:i w:val="false"/>
          <w:color w:val="000000"/>
          <w:sz w:val="22"/>
        </w:rPr>
        <w:t xml:space="preserve">, Iowa Administrative Code. The society may contract with a nonprofit corporation to operate a facility rental program. Details concerning the rental program may be obtained from the facilities rental coordinator, State Historical Society of Iowa, 600 East Locust Street, Des Moines, Iowa 50319, or at </w:t>
      </w:r>
      <w:hyperlink r:id="rId13">
        <w:r>
          <w:rPr>
            <w:rStyle w:val="Hyperlink"/>
            <w:rFonts w:ascii="Times New Roman" w:hAnsi="Times New Roman"/>
            <w:b w:val="false"/>
            <w:i w:val="false"/>
            <w:color w:val="000000"/>
            <w:sz w:val="22"/>
            <w:u w:val="single"/>
          </w:rPr>
          <w:t>www.iowahistory.org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contract for use of any part of the state historical building shall be executed prior to the event. This contract shall identify, at a minimum, the group using the facility, purpose of the use, person or group legally responsible, all fees to be assessed, and exact date and time of the event. A contract shall be initiated with the facilities rental coordinator and shall be approved by the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Alcoholic beverages may be served at functions in the state historical building if a fully approved alcoholic beverages application is executed prior to the event. This application shall attest that all laws of the state of Iowa and the city of Des Moines pertaining to alcoholic beverages will be obeyed and that all liability rests with the group using the facility. All alcoholic beverage service shall be provided by the licensee designated by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Programming. Group tours of the state historical building and educational programming are available. Prior scheduling may be required for tours and programming. An inquiry about arrangements of a museum tour may be directed to the State Historical Society of Iowa, 600 East Locust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Centennial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society provides program services of the library and publications bureau at this location. Meeting rooms and other facilities are available for use by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tours. Educational tours of the library are available only on a prearranged basis. An inquiry about arrangements for a tour may be directed to the Bureau Chief, Centennial Building, 402 Iowa Avenue, Iowa City, Iowa 52240.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Abbie Gardner Sharp Cabin. </w:t>
      </w:r>
      <w:r>
        <w:rPr>
          <w:rFonts w:ascii="Times New Roman" w:hAnsi="Times New Roman"/>
          <w:b w:val="false"/>
          <w:i w:val="false"/>
          <w:color w:val="000000"/>
          <w:sz w:val="22"/>
        </w:rPr>
        <w:t>This site is protected under guidelines established in the Abbie Gardner Sharp Cabin management plan in accordance with the Secretary of the Interior’s Standards for Historic Preservation.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American Gothic House. </w:t>
      </w:r>
      <w:r>
        <w:rPr>
          <w:rFonts w:ascii="Times New Roman" w:hAnsi="Times New Roman"/>
          <w:b w:val="false"/>
          <w:i w:val="false"/>
          <w:color w:val="000000"/>
          <w:sz w:val="22"/>
        </w:rPr>
        <w:t>This site is protected by the society in accordance with the Secretary of the Interior’s Standards for Historic Preservation. Copies of the guidelines and applications for use of the site shall be available from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Blood Run National Historic Landmark.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site is managed by the Executive Director, Lyon County Conservation Board, RR 1, Box 44, Inwood, Iowa 51240, through a cooperative agreement with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site is protected under guidelines established in a law enforcement agreement between the society and the Lyon County Conservation Board and in accordance with the Secretary of the Interior’s Standards for Historic Preservation.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Matthew Edel Blacksmith Shop.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 protection. The site is protected under guidelines established in cooperative agreements between the society, the Historical Society of Marshall County and the city of Haverhill in accordance with the Secretary of the Interior’s Standards for Historic Preservation.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use by groups. Picnicking is permitted at this site. A shelter house is available. Arrangements for use of the shelter house may be made by contacting the City Council, Haverhill, Iowa 50120.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Montauk, Union Sunday School, Clermont Museum.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Site protection. Montauk is a state preserve. Management complies with all provisions of Iowa Code chapter </w:t>
      </w:r>
      <w:hyperlink r:id="rId14">
        <w:r>
          <w:rPr>
            <w:rStyle w:val="Hyperlink"/>
            <w:rFonts w:ascii="Times New Roman" w:hAnsi="Times New Roman"/>
            <w:b w:val="false"/>
            <w:i w:val="false"/>
            <w:color w:val="000000"/>
            <w:sz w:val="22"/>
          </w:rPr>
          <w:t>465C</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575—Chapter 2</w:t>
        </w:r>
      </w:hyperlink>
      <w:r>
        <w:rPr>
          <w:rFonts w:ascii="Times New Roman" w:hAnsi="Times New Roman"/>
          <w:b w:val="false"/>
          <w:i w:val="false"/>
          <w:color w:val="000000"/>
          <w:sz w:val="22"/>
        </w:rPr>
        <w:t>, Iowa Administrative Code, and the articles of dedication for Montauk as a state preserve. A request for research use of the site shall be directed to the society. A research request shall be reviewed by the site manager and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Hunting shall not be permitted on this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Group tours. Tours of Montauk, Union Sunday School, and Clermont Museum shall be available on a prearranged basis. An inquiry about arrangements for a tour may be directed to the Site Manager, Montauk, Clermont, Iowa 52135.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Private use by groups. The facilities may be available on a prearranged basis for use by historical and cultural interest groups. An inquiry may be directed to the Site Manager, Montauk, Clermont, Iowa 52135.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Plum Grove.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 protection. The site is protected under guidelines established in a cooperative agreement between the society and the Johnson County Historical Society and in accordance with the Secretary of the Interior’s Standards for Historic Preservation.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Picnicking is permitted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Group tours. Tours shall be available only on a prearranged basis. An inquiry about arrangements for a tour shall be directed to the Site Manager, Johnson County Historical Society, 310 5th Street, Coralville, Iowa 52241.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Private use by groups. The facilities may be available on a prearranged basis for use by historical and cultural interest groups. An inquiry may be directed to the Site Manager, Johnson County Historical Society, 310 5th Street, Coralville, Iowa 52241.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Toolesboro Mounds National Historic Landmark.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Site protection. Toolesboro Mounds National Historic Landmark is a state preserve. Management complies with all provisions of Iowa Code chapter </w:t>
      </w:r>
      <w:hyperlink r:id="rId16">
        <w:r>
          <w:rPr>
            <w:rStyle w:val="Hyperlink"/>
            <w:rFonts w:ascii="Times New Roman" w:hAnsi="Times New Roman"/>
            <w:b w:val="false"/>
            <w:i w:val="false"/>
            <w:color w:val="000000"/>
            <w:sz w:val="22"/>
          </w:rPr>
          <w:t>465C</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575—Chapter 2</w:t>
        </w:r>
      </w:hyperlink>
      <w:r>
        <w:rPr>
          <w:rFonts w:ascii="Times New Roman" w:hAnsi="Times New Roman"/>
          <w:b w:val="false"/>
          <w:i w:val="false"/>
          <w:color w:val="000000"/>
          <w:sz w:val="22"/>
        </w:rPr>
        <w:t>, Iowa Administrative Code, and the articles of dedication for Toolesboro Mounds National Historic Landmark as a state preserve. A request for research use of the site shall be directed to the society. A research request shall be reviewed by the historic sites coordinator and recommended for action to the administrator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tours. Tours are available on a prearranged basis. An inquiry may be directed to the Louisa County Conservation Board, Box 261, 601 Highway 61 North, Wapello, Iowa 52653.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Western Historic Trails Center.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Parking. Parking is permitted in designated areas at the site. No overnight parking shall be permitted at the site without written approval by the site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tours. Tours by groups, during normal days and hours of operation, shall be available on a prearranged basis. An inquiry about arrangements for a tour shall be directed to the Site Manager, Western Historic Trails Center, 3434 Richard Downing Avenue, Council Bluffs, Iowa 51501.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Private use by groups. The facilities may be available on a prearranged basis for use by historical and cultural interest groups. An inquiry may be directed to the Site Manager, Western Historic Trails Center, 3434 Richard Downing Avenue, Council Bluffs, Iowa 51501.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fee. No admission fee shall be charged at the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5730C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223—1.6</w:t>
      </w:r>
      <w:r>
        <w:rPr>
          <w:rFonts w:ascii="Times New Roman" w:hAnsi="Times New Roman"/>
          <w:b/>
          <w:i w:val="false"/>
          <w:color w:val="000000"/>
          <w:sz w:val="22"/>
        </w:rPr>
        <w:t xml:space="preserve">(303) </w:t>
      </w:r>
      <w:r>
        <w:rPr>
          <w:rFonts w:ascii="Times New Roman" w:hAnsi="Times New Roman"/>
          <w:b/>
          <w:i w:val="false"/>
          <w:color w:val="000000"/>
          <w:sz w:val="22"/>
        </w:rPr>
        <w:t xml:space="preserve">Board of trustees.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Function. </w:t>
      </w:r>
      <w:r>
        <w:rPr>
          <w:rFonts w:ascii="Times New Roman" w:hAnsi="Times New Roman"/>
          <w:b w:val="false"/>
          <w:i w:val="false"/>
          <w:color w:val="000000"/>
          <w:sz w:val="22"/>
        </w:rPr>
        <w:t>The function of the society board of trustees is to advise the administrator of the society and to stimulate interest in the history of Iowa among the general public, as well as other functions that are not contrary to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Two categories of membership exist for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Elected members. </w:t>
      </w:r>
      <w:r>
        <w:rPr>
          <w:rFonts w:ascii="Times New Roman" w:hAnsi="Times New Roman"/>
          <w:b w:val="false"/>
          <w:i w:val="false"/>
          <w:color w:val="000000"/>
          <w:sz w:val="22"/>
        </w:rPr>
        <w:t xml:space="preserve">In compliance with Iowa Code subsection </w:t>
      </w:r>
      <w:hyperlink r:id="rId18">
        <w:r>
          <w:rPr>
            <w:rStyle w:val="Hyperlink"/>
            <w:rFonts w:ascii="Times New Roman" w:hAnsi="Times New Roman"/>
            <w:b w:val="false"/>
            <w:i w:val="false"/>
            <w:color w:val="000000"/>
            <w:sz w:val="22"/>
          </w:rPr>
          <w:t>303.4(1)</w:t>
        </w:r>
      </w:hyperlink>
      <w:r>
        <w:rPr>
          <w:rFonts w:ascii="Times New Roman" w:hAnsi="Times New Roman"/>
          <w:b w:val="false"/>
          <w:i w:val="false"/>
          <w:color w:val="000000"/>
          <w:sz w:val="22"/>
        </w:rPr>
        <w:t xml:space="preserve">, three members of the board of trustees shall be elected annually. The board of trustees shall establish written procedures for the conduct of the election. A society member may nominate a candidate by contacting the administrator. Each member of the society shall be entitled to one vote regardless of membership category. Elected board members shall serve three-year, staggered terms of office. Terms of office shall begin on May 1 consistent with Iowa Code section </w:t>
      </w:r>
      <w:hyperlink r:id="rId19">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Appointed members. </w:t>
      </w:r>
      <w:r>
        <w:rPr>
          <w:rFonts w:ascii="Times New Roman" w:hAnsi="Times New Roman"/>
          <w:b w:val="false"/>
          <w:i w:val="false"/>
          <w:color w:val="000000"/>
          <w:sz w:val="22"/>
        </w:rPr>
        <w:t xml:space="preserve">In compliance with Iowa Code subsection </w:t>
      </w:r>
      <w:hyperlink r:id="rId20">
        <w:r>
          <w:rPr>
            <w:rStyle w:val="Hyperlink"/>
            <w:rFonts w:ascii="Times New Roman" w:hAnsi="Times New Roman"/>
            <w:b w:val="false"/>
            <w:i w:val="false"/>
            <w:color w:val="000000"/>
            <w:sz w:val="22"/>
          </w:rPr>
          <w:t>303.4(1)</w:t>
        </w:r>
      </w:hyperlink>
      <w:r>
        <w:rPr>
          <w:rFonts w:ascii="Times New Roman" w:hAnsi="Times New Roman"/>
          <w:b w:val="false"/>
          <w:i w:val="false"/>
          <w:color w:val="000000"/>
          <w:sz w:val="22"/>
        </w:rPr>
        <w:t xml:space="preserve">, the governor shall appoint nine members to the board. Terms of office shall be in accordance with Iowa Code subsection </w:t>
      </w:r>
      <w:hyperlink r:id="rId21">
        <w:r>
          <w:rPr>
            <w:rStyle w:val="Hyperlink"/>
            <w:rFonts w:ascii="Times New Roman" w:hAnsi="Times New Roman"/>
            <w:b w:val="false"/>
            <w:i w:val="false"/>
            <w:color w:val="000000"/>
            <w:sz w:val="22"/>
          </w:rPr>
          <w:t>303.4(2)</w:t>
        </w:r>
      </w:hyperlink>
      <w:r>
        <w:rPr>
          <w:rFonts w:ascii="Times New Roman" w:hAnsi="Times New Roman"/>
          <w:b w:val="false"/>
          <w:i w:val="false"/>
          <w:color w:val="000000"/>
          <w:sz w:val="22"/>
        </w:rPr>
        <w:t xml:space="preserve"> and consistent with Iowa Code section </w:t>
      </w:r>
      <w:hyperlink r:id="rId22">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303.6</w:t>
        </w:r>
      </w:hyperlink>
      <w:r>
        <w:rPr>
          <w:rFonts w:ascii="Times New Roman" w:hAnsi="Times New Roman"/>
          <w:b w:val="false"/>
          <w:i w:val="false"/>
          <w:color w:val="000000"/>
          <w:sz w:val="22"/>
        </w:rPr>
        <w:t>, the board of trustees of the society shall annually elect a chairperson and a vice chairperson from its membership. The administrator of the society serves as secretary to the board of trustees. Election of officers shall be held annually at the first meeting of the board following the installation of new members. Election is by a two-thirds vote of all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board of trustees shall meet at least four times per year in accordance with a schedule established by the board. A two-thirds majority of all members of the board shall constitute a quorum to conduct business. All meetings are open to the public under Iowa Code chapter </w:t>
      </w:r>
      <w:hyperlink r:id="rId2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Public notice of all meetings shall be posted in accordance with Iowa Code chapter </w:t>
      </w:r>
      <w:hyperlink r:id="rId2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Committees—appointment. </w:t>
      </w:r>
      <w:r>
        <w:rPr>
          <w:rFonts w:ascii="Times New Roman" w:hAnsi="Times New Roman"/>
          <w:b w:val="false"/>
          <w:i w:val="false"/>
          <w:color w:val="000000"/>
          <w:sz w:val="22"/>
        </w:rPr>
        <w:t>Committees of the board of trustees may be appointed on an ad hoc basis by the chairperson of the board. Nonboard members may be appointed to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The following definitions apply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“Affinity”</w:t>
      </w:r>
      <w:r>
        <w:rPr>
          <w:rFonts w:ascii="Times New Roman" w:hAnsi="Times New Roman"/>
          <w:b w:val="false"/>
          <w:i w:val="false"/>
          <w:color w:val="000000"/>
          <w:sz w:val="22"/>
        </w:rPr>
        <w:t> </w:t>
      </w:r>
      <w:r>
        <w:rPr>
          <w:rFonts w:ascii="Times New Roman" w:hAnsi="Times New Roman"/>
          <w:b w:val="false"/>
          <w:i w:val="false"/>
          <w:color w:val="000000"/>
          <w:sz w:val="22"/>
        </w:rPr>
        <w:t>means the relationship of a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“Consanguinity of the second degree”</w:t>
      </w:r>
      <w:r>
        <w:rPr>
          <w:rFonts w:ascii="Times New Roman" w:hAnsi="Times New Roman"/>
          <w:b w:val="false"/>
          <w:i w:val="false"/>
          <w:color w:val="000000"/>
          <w:sz w:val="22"/>
        </w:rPr>
        <w:t> </w:t>
      </w:r>
      <w:r>
        <w:rPr>
          <w:rFonts w:ascii="Times New Roman" w:hAnsi="Times New Roman"/>
          <w:b w:val="false"/>
          <w:i w:val="false"/>
          <w:color w:val="000000"/>
          <w:sz w:val="22"/>
        </w:rPr>
        <w:t>means a blood relationship of the second degree such as a brother/sister, grandparent, grandchild.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any claim, account, job of work, grant application, provision of materials, or manuscript submitted for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board member who has an interest, either direct or indirect, within consanguinity of the second degree, in any contract in which the society is or might become a party shall disclose the interest to the board. The interest shall be noted in the minutes of a board meeting. When the contract requires board action, the affected member shall not participate in any discussion or action by the board with respect to the contract. The affected member shall be disqualified from voting on the contract issue by reason of the conflict. The quorum of the board shall not be changed as the result of a conflict of interest disqualification.</w:t>
      </w:r>
    </w:p>
    <w:p>
      <w:pPr>
        <w:spacing w:before="210" w:after="0"/>
        <w:ind w:left="120"/>
        <w:jc w:val="both"/>
      </w:pPr>
      <w:r>
        <w:rPr>
          <w:rFonts w:ascii="Times New Roman" w:hAnsi="Times New Roman"/>
          <w:b/>
          <w:i w:val="false"/>
          <w:color w:val="000000"/>
          <w:sz w:val="22"/>
        </w:rPr>
        <w:t>223—1.7</w:t>
      </w:r>
      <w:r>
        <w:rPr>
          <w:rFonts w:ascii="Times New Roman" w:hAnsi="Times New Roman"/>
          <w:b/>
          <w:i w:val="false"/>
          <w:color w:val="000000"/>
          <w:sz w:val="22"/>
        </w:rPr>
        <w:t xml:space="preserve">(303) </w:t>
      </w:r>
      <w:r>
        <w:rPr>
          <w:rFonts w:ascii="Times New Roman" w:hAnsi="Times New Roman"/>
          <w:b/>
          <w:i w:val="false"/>
          <w:color w:val="000000"/>
          <w:sz w:val="22"/>
        </w:rPr>
        <w:t xml:space="preserve">Gifts, bequests, endowments. </w:t>
      </w:r>
      <w:r>
        <w:rPr>
          <w:rFonts w:ascii="Times New Roman" w:hAnsi="Times New Roman"/>
          <w:b w:val="false"/>
          <w:i w:val="false"/>
          <w:color w:val="000000"/>
          <w:sz w:val="22"/>
        </w:rPr>
        <w:t xml:space="preserve">The society may accept private gifts, bequests, and endowments with such gifts credited to the account of the society. Accepted gifts, bequests, and endowments shall be used in accordance with the desire of the donor as expressed at the time of the donation. Undesignated funds shall be credited to the society and used for projects and activities of the society as recommended by the administrator of the society. Gifts may be deposited directly into the account of the society, or, in accordance with Iowa Code section </w:t>
      </w:r>
      <w:hyperlink r:id="rId26">
        <w:r>
          <w:rPr>
            <w:rStyle w:val="Hyperlink"/>
            <w:rFonts w:ascii="Times New Roman" w:hAnsi="Times New Roman"/>
            <w:b w:val="false"/>
            <w:i w:val="false"/>
            <w:color w:val="000000"/>
            <w:sz w:val="22"/>
          </w:rPr>
          <w:t>353.7(4)</w:t>
        </w:r>
      </w:hyperlink>
      <w:r>
        <w:rPr>
          <w:rFonts w:ascii="Times New Roman" w:hAnsi="Times New Roman"/>
          <w:b w:val="false"/>
          <w:i w:val="false"/>
          <w:color w:val="000000"/>
          <w:sz w:val="22"/>
        </w:rPr>
        <w:t>, the society may enter into an agreement with a nonprofit corporation to accept and manage gifts, bequests and endowments.</w:t>
      </w:r>
    </w:p>
    <w:p>
      <w:pPr>
        <w:spacing w:before="210" w:after="0"/>
        <w:ind w:left="120"/>
        <w:jc w:val="both"/>
      </w:pPr>
      <w:r>
        <w:rPr>
          <w:rFonts w:ascii="Times New Roman" w:hAnsi="Times New Roman"/>
          <w:b/>
          <w:i w:val="false"/>
          <w:color w:val="000000"/>
          <w:sz w:val="22"/>
        </w:rPr>
        <w:t>223—1.8</w:t>
      </w:r>
      <w:r>
        <w:rPr>
          <w:rFonts w:ascii="Times New Roman" w:hAnsi="Times New Roman"/>
          <w:b/>
          <w:i w:val="false"/>
          <w:color w:val="000000"/>
          <w:sz w:val="22"/>
        </w:rPr>
        <w:t xml:space="preserve">(303) </w:t>
      </w:r>
      <w:r>
        <w:rPr>
          <w:rFonts w:ascii="Times New Roman" w:hAnsi="Times New Roman"/>
          <w:b/>
          <w:i w:val="false"/>
          <w:color w:val="000000"/>
          <w:sz w:val="22"/>
        </w:rPr>
        <w:t xml:space="preserve">Public and private grants and donations. </w:t>
      </w:r>
      <w:r>
        <w:rPr>
          <w:rFonts w:ascii="Times New Roman" w:hAnsi="Times New Roman"/>
          <w:b w:val="false"/>
          <w:i w:val="false"/>
          <w:color w:val="000000"/>
          <w:sz w:val="22"/>
        </w:rPr>
        <w:t xml:space="preserve">The department, acting on behalf of the society, may apply for and receive funds from public and private sources. Receipts from these grants shall be credited to the account of the society and used in accordance with the stipulation of the grants contract. In accordance with Iowa Code section </w:t>
      </w:r>
      <w:hyperlink r:id="rId27">
        <w:r>
          <w:rPr>
            <w:rStyle w:val="Hyperlink"/>
            <w:rFonts w:ascii="Times New Roman" w:hAnsi="Times New Roman"/>
            <w:b w:val="false"/>
            <w:i w:val="false"/>
            <w:color w:val="000000"/>
            <w:sz w:val="22"/>
          </w:rPr>
          <w:t>303.7(4)</w:t>
        </w:r>
      </w:hyperlink>
      <w:r>
        <w:rPr>
          <w:rFonts w:ascii="Times New Roman" w:hAnsi="Times New Roman"/>
          <w:b w:val="false"/>
          <w:i w:val="false"/>
          <w:color w:val="000000"/>
          <w:sz w:val="22"/>
        </w:rPr>
        <w:t>, the society may enter into an agreement with a nonprofit corporation to accept public and private grants and donations.</w:t>
      </w:r>
    </w:p>
    <w:p>
      <w:pPr>
        <w:spacing w:before="0" w:after="0"/>
        <w:ind w:left="120"/>
        <w:jc w:val="both"/>
      </w:pPr>
      <w:r>
        <w:rPr>
          <w:rFonts w:ascii="Times New Roman" w:hAnsi="Times New Roman"/>
          <w:b/>
          <w:i w:val="false"/>
          <w:color w:val="000000"/>
          <w:sz w:val="22"/>
        </w:rPr>
        <w:t>223—1.9</w:t>
      </w:r>
      <w:r>
        <w:rPr>
          <w:rFonts w:ascii="Times New Roman" w:hAnsi="Times New Roman"/>
          <w:b/>
          <w:i w:val="false"/>
          <w:color w:val="000000"/>
          <w:sz w:val="22"/>
        </w:rPr>
        <w:t xml:space="preserve">(303) </w:t>
      </w:r>
      <w:r>
        <w:rPr>
          <w:rFonts w:ascii="Times New Roman" w:hAnsi="Times New Roman"/>
          <w:b/>
          <w:i w:val="false"/>
          <w:color w:val="000000"/>
          <w:sz w:val="22"/>
        </w:rPr>
        <w:t xml:space="preserve">Sale of mementos. </w:t>
      </w:r>
      <w:r>
        <w:rPr>
          <w:rFonts w:ascii="Times New Roman" w:hAnsi="Times New Roman"/>
          <w:b w:val="false"/>
          <w:i w:val="false"/>
          <w:color w:val="000000"/>
          <w:sz w:val="22"/>
        </w:rPr>
        <w:t>The department, acting on behalf of the society, may sell mementos or other items relating to Iowa and its history and culture at the society’s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color w:val="000000"/>
          <w:sz w:val="22"/>
        </w:rPr>
        <w:t xml:space="preserve">Operator of gift shops. </w:t>
      </w:r>
      <w:r>
        <w:rPr>
          <w:rFonts w:ascii="Times New Roman" w:hAnsi="Times New Roman"/>
          <w:b w:val="false"/>
          <w:i w:val="false"/>
          <w:color w:val="000000"/>
          <w:sz w:val="22"/>
        </w:rPr>
        <w:t>The society may enter into an agreement with a nonprofit corporation for the operation of gift shops, including facilities, merchandise, and promotion. The society shall require an accounting of all receipts and expenditures of the gift shops.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Net proceeds from rental, lease, sale, and fees shall be deposited into the account of the society.</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303.1A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303.4 to 303.18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7/2/75]</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9/14/76, Notice 6/14/76—published 10/6/76, effective 11/10/76]</w:t>
      </w:r>
    </w:p>
    <w:p>
      <w:pPr>
        <w:spacing w:before="0" w:after="0"/>
        <w:ind w:left="120"/>
        <w:jc w:val="center"/>
      </w:pPr>
      <w:r>
        <w:rPr>
          <w:rFonts w:ascii="Times New Roman" w:hAnsi="Times New Roman"/>
          <w:b w:val="false"/>
          <w:i w:val="false"/>
          <w:color w:val="000000"/>
          <w:sz w:val="21"/>
        </w:rPr>
        <w:t>[Filed 6/22/77, Notice 5/18/77—published 7/13/77, effective 6/12/78]</w:t>
      </w:r>
    </w:p>
    <w:p>
      <w:pPr>
        <w:spacing w:before="0" w:after="0"/>
        <w:ind w:left="120"/>
        <w:jc w:val="center"/>
      </w:pPr>
      <w:r>
        <w:rPr>
          <w:rFonts w:ascii="Times New Roman" w:hAnsi="Times New Roman"/>
          <w:b w:val="false"/>
          <w:i w:val="false"/>
          <w:color w:val="000000"/>
          <w:sz w:val="21"/>
        </w:rPr>
        <w:t>[Filed 10/14/77, Notice 4/20/77—published 11/2/77, effective 12/7/77]</w:t>
      </w:r>
    </w:p>
    <w:p>
      <w:pPr>
        <w:spacing w:before="0" w:after="0"/>
        <w:ind w:left="120"/>
        <w:jc w:val="center"/>
      </w:pPr>
      <w:r>
        <w:rPr>
          <w:rFonts w:ascii="Times New Roman" w:hAnsi="Times New Roman"/>
          <w:b w:val="false"/>
          <w:i w:val="false"/>
          <w:color w:val="000000"/>
          <w:sz w:val="21"/>
        </w:rPr>
        <w:t>[Filed 4/13/78, Notice 3/8/78—published 5/3/78, effective 6/12/78]</w:t>
      </w:r>
    </w:p>
    <w:p>
      <w:pPr>
        <w:spacing w:before="0" w:after="0"/>
        <w:ind w:left="120"/>
        <w:jc w:val="center"/>
      </w:pPr>
      <w:r>
        <w:rPr>
          <w:rFonts w:ascii="Times New Roman" w:hAnsi="Times New Roman"/>
          <w:b w:val="false"/>
          <w:i w:val="false"/>
          <w:color w:val="000000"/>
          <w:sz w:val="21"/>
        </w:rPr>
        <w:t>[Filed emergency 8/15/80—published 9/3/80, effective 9/1/80]</w:t>
      </w:r>
    </w:p>
    <w:p>
      <w:pPr>
        <w:spacing w:before="0" w:after="0"/>
        <w:ind w:left="120"/>
        <w:jc w:val="center"/>
      </w:pPr>
      <w:r>
        <w:rPr>
          <w:rFonts w:ascii="Times New Roman" w:hAnsi="Times New Roman"/>
          <w:b w:val="false"/>
          <w:i w:val="false"/>
          <w:color w:val="000000"/>
          <w:sz w:val="21"/>
        </w:rPr>
        <w:t>[Filed emergency 10/30/87—published 11/18/87, effective 10/30/87]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5/12/89, Notices 11/30/88, 12/28/88, 4/5/89—published 5/31/89, effective 7/5/89]</w:t>
      </w:r>
    </w:p>
    <w:p>
      <w:pPr>
        <w:spacing w:before="0" w:after="0"/>
        <w:ind w:left="120"/>
        <w:jc w:val="center"/>
      </w:pPr>
      <w:r>
        <w:rPr>
          <w:rFonts w:ascii="Times New Roman" w:hAnsi="Times New Roman"/>
          <w:b w:val="false"/>
          <w:i w:val="false"/>
          <w:color w:val="000000"/>
          <w:sz w:val="21"/>
        </w:rPr>
        <w:t>[Filed 6/21/91, Notice 3/20/91—published 7/10/91, effective 8/14/91]</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5/21/04, Notice 3/31/04—published 6/9/04, effective 7/14/04]</w:t>
      </w:r>
    </w:p>
    <w:p>
      <w:pPr>
        <w:spacing w:before="0" w:after="0"/>
        <w:ind w:left="120"/>
        <w:jc w:val="center"/>
      </w:pPr>
      <w:r>
        <w:rPr>
          <w:rFonts w:ascii="Times New Roman" w:hAnsi="Times New Roman"/>
          <w:b w:val="false"/>
          <w:i w:val="false"/>
          <w:color w:val="000000"/>
          <w:sz w:val="21"/>
        </w:rPr>
        <w:t>[Filed ARC 5730C</w:t>
      </w:r>
      <w:r>
        <w:rPr>
          <w:rFonts w:ascii="Times New Roman" w:hAnsi="Times New Roman"/>
          <w:b w:val="false"/>
          <w:i w:val="false"/>
          <w:color w:val="000000"/>
          <w:sz w:val="21"/>
        </w:rPr>
        <w:t xml:space="preserve"> (Notice ARC 5610C, IAB 5/5/21)</w:t>
      </w:r>
      <w:r>
        <w:rPr>
          <w:rFonts w:ascii="Times New Roman" w:hAnsi="Times New Roman"/>
          <w:b w:val="false"/>
          <w:i w:val="false"/>
          <w:color w:val="000000"/>
          <w:sz w:val="21"/>
        </w:rPr>
        <w:t>, IAB 6/30/21, effective 8/4/21]</w:t>
      </w:r>
    </w:p>
    <w:p>
      <w:pPr>
        <w:pBdr>
          <w:bottom w:space="2"/>
        </w:pBdr>
        <w:spacing w:before="0" w:after="0"/>
        <w:ind w:left="120"/>
        <w:jc w:val="both"/>
      </w:pPr>
      <w:r>
        <w:rPr>
          <w:rFonts w:ascii="Times New Roman" w:hAnsi="Times New Roman"/>
          <w:b w:val="false"/>
          <w:i w:val="false"/>
          <w:color w:val="000000"/>
          <w:sz w:val="22"/>
        </w:rPr>
        <w:t>Filed as 229—Ch 13, IAB 3/9/88</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chapter/223.1.pdf" Type="http://schemas.openxmlformats.org/officeDocument/2006/relationships/hyperlink" Id="rId6"/>
    <Relationship TargetMode="External" Target="https://www.legis.iowa.gov/docs/iac/chapter/223.50.pdf" Type="http://schemas.openxmlformats.org/officeDocument/2006/relationships/hyperlink" Id="rId7"/>
    <Relationship TargetMode="External" Target="https://www.legis.iowa.gov/docs/ico/chapter/303.2.pdf" Type="http://schemas.openxmlformats.org/officeDocument/2006/relationships/hyperlink" Id="rId8"/>
    <Relationship TargetMode="External" Target="http://www.iowahistory.org" Type="http://schemas.openxmlformats.org/officeDocument/2006/relationships/hyperlink" Id="rId9"/>
    <Relationship TargetMode="External" Target="https://www.legis.iowa.gov/docs/ico/chapter/303.9.pdf" Type="http://schemas.openxmlformats.org/officeDocument/2006/relationships/hyperlink" Id="rId10"/>
    <Relationship TargetMode="External" Target="https://www.legis.iowa.gov/docs/iac/rule/223.1.5.pdf" Type="http://schemas.openxmlformats.org/officeDocument/2006/relationships/hyperlink" Id="rId11"/>
    <Relationship TargetMode="External" Target="https://www.legis.iowa.gov/docs/iac/rule/11.100.4.pdf" Type="http://schemas.openxmlformats.org/officeDocument/2006/relationships/hyperlink" Id="rId12"/>
    <Relationship TargetMode="External" Target="http://www.iowahistory.org" Type="http://schemas.openxmlformats.org/officeDocument/2006/relationships/hyperlink" Id="rId13"/>
    <Relationship TargetMode="External" Target="https://www.legis.iowa.gov/docs/ico/chapter/465C.pdf" Type="http://schemas.openxmlformats.org/officeDocument/2006/relationships/hyperlink" Id="rId14"/>
    <Relationship TargetMode="External" Target="https://www.legis.iowa.gov/docs/iac/chapter/575.2.pdf" Type="http://schemas.openxmlformats.org/officeDocument/2006/relationships/hyperlink" Id="rId15"/>
    <Relationship TargetMode="External" Target="https://www.legis.iowa.gov/docs/ico/chapter/465C.pdf" Type="http://schemas.openxmlformats.org/officeDocument/2006/relationships/hyperlink" Id="rId16"/>
    <Relationship TargetMode="External" Target="https://www.legis.iowa.gov/docs/iac/chapter/575.2.pdf" Type="http://schemas.openxmlformats.org/officeDocument/2006/relationships/hyperlink" Id="rId17"/>
    <Relationship TargetMode="External" Target="https://www.legis.iowa.gov/docs/ico/chapter/303.4.pdf" Type="http://schemas.openxmlformats.org/officeDocument/2006/relationships/hyperlink" Id="rId18"/>
    <Relationship TargetMode="External" Target="https://www.legis.iowa.gov/docs/ico/chapter/69.19.pdf" Type="http://schemas.openxmlformats.org/officeDocument/2006/relationships/hyperlink" Id="rId19"/>
    <Relationship TargetMode="External" Target="https://www.legis.iowa.gov/docs/ico/chapter/303.4.pdf" Type="http://schemas.openxmlformats.org/officeDocument/2006/relationships/hyperlink" Id="rId20"/>
    <Relationship TargetMode="External" Target="https://www.legis.iowa.gov/docs/ico/chapter/303.4.pdf" Type="http://schemas.openxmlformats.org/officeDocument/2006/relationships/hyperlink" Id="rId21"/>
    <Relationship TargetMode="External" Target="https://www.legis.iowa.gov/docs/ico/chapter/69.19.pdf" Type="http://schemas.openxmlformats.org/officeDocument/2006/relationships/hyperlink" Id="rId22"/>
    <Relationship TargetMode="External" Target="https://www.legis.iowa.gov/docs/ico/chapter/303.6.pdf" Type="http://schemas.openxmlformats.org/officeDocument/2006/relationships/hyperlink" Id="rId23"/>
    <Relationship TargetMode="External" Target="https://www.legis.iowa.gov/docs/ico/chapter/21.pdf" Type="http://schemas.openxmlformats.org/officeDocument/2006/relationships/hyperlink" Id="rId24"/>
    <Relationship TargetMode="External" Target="https://www.legis.iowa.gov/docs/ico/chapter/21.pdf" Type="http://schemas.openxmlformats.org/officeDocument/2006/relationships/hyperlink" Id="rId25"/>
    <Relationship TargetMode="External" Target="https://www.legis.iowa.gov/docs/ico/chapter/353.7.pdf" Type="http://schemas.openxmlformats.org/officeDocument/2006/relationships/hyperlink" Id="rId26"/>
    <Relationship TargetMode="External" Target="https://www.legis.iowa.gov/docs/ico/chapter/303.7.pdf" Type="http://schemas.openxmlformats.org/officeDocument/2006/relationships/hyperlink" Id="rId27"/>
    <Relationship TargetMode="External" Target="https://www.legis.iowa.gov/docs/ico/chapter/303.1A.pdf" Type="http://schemas.openxmlformats.org/officeDocument/2006/relationships/hyperlink" Id="rId28"/>
    <Relationship TargetMode="External" Target="https://www.legis.iowa.gov/docs/ico/chapter/303.2.pdf" Type="http://schemas.openxmlformats.org/officeDocument/2006/relationships/hyperlink" Id="rId29"/>
    <Relationship TargetMode="External" Target="https://www.legis.iowa.gov/docs/ico/chapter/303.4-18.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