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E-15 ACCESS STANDARD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1/18/28</w:t>
      </w:r>
    </w:p>
    <w:p>
      <w:pPr>
        <w:spacing w:before="0" w:after="0"/>
        <w:ind w:left="120"/>
        <w:jc w:val="both"/>
      </w:pPr>
      <w:r>
        <w:rPr>
          <w:rFonts w:ascii="Times New Roman" w:hAnsi="Times New Roman"/>
          <w:b/>
          <w:i w:val="false"/>
          <w:color w:val="000000"/>
          <w:sz w:val="22"/>
        </w:rPr>
        <w:t>21—86.1</w:t>
      </w:r>
      <w:r>
        <w:rPr>
          <w:rFonts w:ascii="Times New Roman" w:hAnsi="Times New Roman"/>
          <w:b/>
          <w:i w:val="false"/>
          <w:color w:val="000000"/>
          <w:sz w:val="22"/>
        </w:rPr>
        <w:t xml:space="preserve">(214A)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1 waiver” </w:t>
      </w:r>
      <w:r>
        <w:rPr>
          <w:rFonts w:ascii="Times New Roman" w:hAnsi="Times New Roman"/>
          <w:b w:val="false"/>
          <w:i w:val="false"/>
          <w:color w:val="000000"/>
          <w:sz w:val="22"/>
        </w:rPr>
        <w:t>means an incompatible infrastructure class 1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“Class 2 waiver” </w:t>
      </w:r>
      <w:r>
        <w:rPr>
          <w:rFonts w:ascii="Times New Roman" w:hAnsi="Times New Roman"/>
          <w:b w:val="false"/>
          <w:i w:val="false"/>
          <w:color w:val="000000"/>
          <w:sz w:val="22"/>
        </w:rPr>
        <w:t>means an incompatible infrastructure class 2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“Motor fuel storage and dispensing infrastructure”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2022 Iowa Acts, House File 2128</w:t>
      </w:r>
      <w:r>
        <w:rPr>
          <w:rFonts w:ascii="Times New Roman" w:hAnsi="Times New Roman"/>
          <w:b w:val="false"/>
          <w:i w:val="false"/>
          <w:color w:val="000000"/>
          <w:sz w:val="22"/>
        </w:rPr>
        <w:t>, section 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dealer”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455G.30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2022 Iowa Acts, House File 2128</w:t>
      </w:r>
      <w:r>
        <w:rPr>
          <w:rFonts w:ascii="Times New Roman" w:hAnsi="Times New Roman"/>
          <w:b w:val="false"/>
          <w:i w:val="false"/>
          <w:color w:val="000000"/>
          <w:sz w:val="22"/>
        </w:rPr>
        <w:t xml:space="preserve">, section 25.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this state where a retail dealer sells and dispenses motor fuel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status” </w:t>
      </w:r>
      <w:r>
        <w:rPr>
          <w:rFonts w:ascii="Times New Roman" w:hAnsi="Times New Roman"/>
          <w:b w:val="false"/>
          <w:i w:val="false"/>
          <w:color w:val="000000"/>
          <w:sz w:val="22"/>
        </w:rPr>
        <w:t xml:space="preserve">means a status assigned to a retail dealer who is ineligible for an incompatible infrastructure class 2 waiver order pursuant to Iowa Code section 214A.35(6) as enacted by </w:t>
      </w:r>
      <w:r>
        <w:rPr>
          <w:rFonts w:ascii="Times New Roman" w:hAnsi="Times New Roman"/>
          <w:b w:val="false"/>
          <w:i w:val="false"/>
          <w:color w:val="000000"/>
          <w:sz w:val="22"/>
        </w:rPr>
        <w:t>2022 Iowa Acts, House File 2128</w:t>
      </w:r>
      <w:r>
        <w:rPr>
          <w:rFonts w:ascii="Times New Roman" w:hAnsi="Times New Roman"/>
          <w:b w:val="false"/>
          <w:i w:val="false"/>
          <w:color w:val="000000"/>
          <w:sz w:val="22"/>
        </w:rPr>
        <w:t>, section 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6732C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21—86.2</w:t>
      </w:r>
      <w:r>
        <w:rPr>
          <w:rFonts w:ascii="Times New Roman" w:hAnsi="Times New Roman"/>
          <w:b/>
          <w:i w:val="false"/>
          <w:color w:val="000000"/>
          <w:sz w:val="22"/>
        </w:rPr>
        <w:t xml:space="preserve">(214A) </w:t>
      </w:r>
      <w:r>
        <w:rPr>
          <w:rFonts w:ascii="Times New Roman" w:hAnsi="Times New Roman"/>
          <w:b/>
          <w:i w:val="false"/>
          <w:color w:val="000000"/>
          <w:sz w:val="22"/>
        </w:rPr>
        <w:t xml:space="preserve">E-15 access standard—retail dealer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w:t>
      </w:r>
      <w:r>
        <w:rPr>
          <w:rFonts w:ascii="Times New Roman" w:hAnsi="Times New Roman"/>
          <w:b w:val="false"/>
          <w:i w:val="false"/>
          <w:color w:val="000000"/>
          <w:sz w:val="22"/>
        </w:rPr>
        <w:t> </w:t>
      </w:r>
      <w:r>
        <w:rPr>
          <w:rFonts w:ascii="Times New Roman" w:hAnsi="Times New Roman"/>
          <w:b w:val="false"/>
          <w:i w:val="false"/>
          <w:color w:val="000000"/>
          <w:sz w:val="22"/>
        </w:rPr>
        <w:t>A retail dealer shall advertise for sale and sell E-15 gasoline pursuant to Iowa Code section 214A.32 as enacted by 2022 Iowa Acts, House File 2128, section 2, unless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retail dealer has been granted an incompatible infrastructure class 1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retail dealer has been granted an incompatible infrastructure class 2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retail dealer has been granted a small retail motor fuel site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this rule may result in the suspension or revocation of the retail dealer’s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6732C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21—86.3</w:t>
      </w:r>
      <w:r>
        <w:rPr>
          <w:rFonts w:ascii="Times New Roman" w:hAnsi="Times New Roman"/>
          <w:b/>
          <w:i w:val="false"/>
          <w:color w:val="000000"/>
          <w:sz w:val="22"/>
        </w:rPr>
        <w:t xml:space="preserve">(214A) </w:t>
      </w:r>
      <w:r>
        <w:rPr>
          <w:rFonts w:ascii="Times New Roman" w:hAnsi="Times New Roman"/>
          <w:b/>
          <w:i w:val="false"/>
          <w:color w:val="000000"/>
          <w:sz w:val="22"/>
        </w:rPr>
        <w:t xml:space="preserve">Incompatible infrastructure 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86.3(1)</w:t>
      </w:r>
      <w:r>
        <w:rPr>
          <w:rFonts w:ascii="Times New Roman" w:hAnsi="Times New Roman"/>
          <w:b w:val="false"/>
          <w:i w:val="false"/>
          <w:color w:val="000000"/>
          <w:sz w:val="22"/>
        </w:rPr>
        <w:t> </w:t>
      </w:r>
      <w:r>
        <w:rPr>
          <w:rFonts w:ascii="Times New Roman" w:hAnsi="Times New Roman"/>
          <w:b w:val="false"/>
          <w:i/>
          <w:color w:val="000000"/>
          <w:sz w:val="22"/>
        </w:rPr>
        <w:t xml:space="preserve">Class 1 waiver. </w:t>
      </w:r>
      <w:r>
        <w:rPr>
          <w:rFonts w:ascii="Times New Roman" w:hAnsi="Times New Roman"/>
          <w:b w:val="false"/>
          <w:i w:val="false"/>
          <w:color w:val="000000"/>
          <w:sz w:val="22"/>
        </w:rPr>
        <w:t xml:space="preserve">A retail dealer may apply for a class 1 waiver from the E-15 access standard by submitting a completed application to the department. The retail dealer shall include supporting documentation with the application regarding the retail motor fuel site’s gasoline storage tanks including but not limited to the date of installation and the material that the tank is constructed from. The department may consult with the department of natural resources to confirm documentation submitted by the retail dealer.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86.3(2)</w:t>
      </w:r>
      <w:r>
        <w:rPr>
          <w:rFonts w:ascii="Times New Roman" w:hAnsi="Times New Roman"/>
          <w:b w:val="false"/>
          <w:i w:val="false"/>
          <w:color w:val="000000"/>
          <w:sz w:val="22"/>
        </w:rPr>
        <w:t> </w:t>
      </w:r>
      <w:r>
        <w:rPr>
          <w:rFonts w:ascii="Times New Roman" w:hAnsi="Times New Roman"/>
          <w:b w:val="false"/>
          <w:i/>
          <w:color w:val="000000"/>
          <w:sz w:val="22"/>
        </w:rPr>
        <w:t xml:space="preserve">Class 2 waiver. </w:t>
      </w:r>
      <w:r>
        <w:rPr>
          <w:rFonts w:ascii="Times New Roman" w:hAnsi="Times New Roman"/>
          <w:b w:val="false"/>
          <w:i w:val="false"/>
          <w:color w:val="000000"/>
          <w:sz w:val="22"/>
        </w:rPr>
        <w:t>A retail dealer may apply for a class 2 waiver from the E-15 access standard by submitting a completed application to the department. The retail dealer shall include supporting documentation with the application including a completed inspection report prepared by a certified professional retail motor fuel site installer regarding the compatibility of the retail motor fuel site’s motor fuel storage and dispensing infrastructure to store and dispense E-15 gasoline. The inspection report shall include an inventory of all motor fuel storage and dispensing infrastructure at the retail motor fuel site. The inspection report shall also include the total estimated cost of improving the retail motor fuel site to comply with the alternative E-15 access standard by installing, replacing, or converting the gasoline storage and dispensing infrastructure located at the retail motor fuel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86.3(3)</w:t>
      </w:r>
      <w:r>
        <w:rPr>
          <w:rFonts w:ascii="Times New Roman" w:hAnsi="Times New Roman"/>
          <w:b w:val="false"/>
          <w:i w:val="false"/>
          <w:color w:val="000000"/>
          <w:sz w:val="22"/>
        </w:rPr>
        <w:t> </w:t>
      </w:r>
      <w:r>
        <w:rPr>
          <w:rFonts w:ascii="Times New Roman" w:hAnsi="Times New Roman"/>
          <w:b w:val="false"/>
          <w:i/>
          <w:color w:val="000000"/>
          <w:sz w:val="22"/>
        </w:rPr>
        <w:t xml:space="preserve">Special status. </w:t>
      </w:r>
      <w:r>
        <w:rPr>
          <w:rFonts w:ascii="Times New Roman" w:hAnsi="Times New Roman"/>
          <w:b w:val="false"/>
          <w:i w:val="false"/>
          <w:color w:val="000000"/>
          <w:sz w:val="22"/>
        </w:rPr>
        <w:t>If it is determined that a retail dealer is ineligible for a class 2 waiver, the department shall assign the retail dealer special status and shall forward the designation to the renewable fuel infrastructure fund board and relevant department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6732C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21—86.4</w:t>
      </w:r>
      <w:r>
        <w:rPr>
          <w:rFonts w:ascii="Times New Roman" w:hAnsi="Times New Roman"/>
          <w:b/>
          <w:i w:val="false"/>
          <w:color w:val="000000"/>
          <w:sz w:val="22"/>
        </w:rPr>
        <w:t xml:space="preserve">(214A) </w:t>
      </w:r>
      <w:r>
        <w:rPr>
          <w:rFonts w:ascii="Times New Roman" w:hAnsi="Times New Roman"/>
          <w:b/>
          <w:i w:val="false"/>
          <w:color w:val="000000"/>
          <w:sz w:val="22"/>
        </w:rPr>
        <w:t xml:space="preserve">Small retail motor fuel site exemption.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86.4(1)</w:t>
      </w:r>
      <w:r>
        <w:rPr>
          <w:rFonts w:ascii="Times New Roman" w:hAnsi="Times New Roman"/>
          <w:b w:val="false"/>
          <w:i w:val="false"/>
          <w:color w:val="000000"/>
          <w:sz w:val="22"/>
        </w:rPr>
        <w:t> </w:t>
      </w:r>
      <w:r>
        <w:rPr>
          <w:rFonts w:ascii="Times New Roman" w:hAnsi="Times New Roman"/>
          <w:b w:val="false"/>
          <w:i w:val="false"/>
          <w:color w:val="000000"/>
          <w:sz w:val="22"/>
        </w:rPr>
        <w:t>A retail dealer may apply for a small retail motor fuel site exemption from the E-15 access standard by submitting a completed application to the department. The retail dealer shall provide the department with the retail motor fuel site’s total gasoline gallonage for calendar years 2020, 2021, and 2022 at the time of application. The department shall share the information provided by the retail dealer with the department of revenue to certify that the total gasoline gallonage is accurate. Once the gasoline gallonage is certified, the department shall grant an exemption if the average annual gasoline gallonage is less than 300,000 gallons for the qualifying phase.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86.4(2)</w:t>
      </w:r>
      <w:r>
        <w:rPr>
          <w:rFonts w:ascii="Times New Roman" w:hAnsi="Times New Roman"/>
          <w:b w:val="false"/>
          <w:i w:val="false"/>
          <w:color w:val="000000"/>
          <w:sz w:val="22"/>
        </w:rPr>
        <w:t> </w:t>
      </w:r>
      <w:r>
        <w:rPr>
          <w:rFonts w:ascii="Times New Roman" w:hAnsi="Times New Roman"/>
          <w:b w:val="false"/>
          <w:i w:val="false"/>
          <w:color w:val="000000"/>
          <w:sz w:val="22"/>
        </w:rPr>
        <w:t>The department will use the following methodology to determine the average annual gasoline gallonage: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retail dealer who has operated a retail motor fuel site for less than three years, all available sales data will be used to determine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where three full years of sales data are unavailable, the available sales data will be divided by the time frame the data represents to determine average annual sales.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6732C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21—86.5</w:t>
      </w:r>
      <w:r>
        <w:rPr>
          <w:rFonts w:ascii="Times New Roman" w:hAnsi="Times New Roman"/>
          <w:b/>
          <w:i w:val="false"/>
          <w:color w:val="000000"/>
          <w:sz w:val="22"/>
        </w:rPr>
        <w:t xml:space="preserve">(214A) </w:t>
      </w:r>
      <w:r>
        <w:rPr>
          <w:rFonts w:ascii="Times New Roman" w:hAnsi="Times New Roman"/>
          <w:b/>
          <w:i w:val="false"/>
          <w:color w:val="000000"/>
          <w:sz w:val="22"/>
        </w:rPr>
        <w:t xml:space="preserve">Terminable events.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w:t>
      </w:r>
      <w:r>
        <w:rPr>
          <w:rFonts w:ascii="Times New Roman" w:hAnsi="Times New Roman"/>
          <w:b w:val="false"/>
          <w:i w:val="false"/>
          <w:color w:val="000000"/>
          <w:sz w:val="22"/>
        </w:rPr>
        <w:t> </w:t>
      </w:r>
      <w:r>
        <w:rPr>
          <w:rFonts w:ascii="Times New Roman" w:hAnsi="Times New Roman"/>
          <w:b w:val="false"/>
          <w:i w:val="false"/>
          <w:color w:val="000000"/>
          <w:sz w:val="22"/>
        </w:rPr>
        <w:t>A retail dealer shall notify the department when a terminable event is planned to occur, is occurring, or has occurred. Failure to notify the department may result in the termination of a class 1 waiver, class 2 waiver, or small retail motor fuel site exemption. The department may also suspend or revoke the retail dealer’s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86.5(2)</w:t>
      </w:r>
      <w:r>
        <w:rPr>
          <w:rFonts w:ascii="Times New Roman" w:hAnsi="Times New Roman"/>
          <w:b w:val="false"/>
          <w:i w:val="false"/>
          <w:color w:val="000000"/>
          <w:sz w:val="22"/>
        </w:rPr>
        <w:t> </w:t>
      </w:r>
      <w:r>
        <w:rPr>
          <w:rFonts w:ascii="Times New Roman" w:hAnsi="Times New Roman"/>
          <w:b w:val="false"/>
          <w:i w:val="false"/>
          <w:color w:val="000000"/>
          <w:sz w:val="22"/>
        </w:rPr>
        <w:t>A terminable event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failure of a retail dealer to be licensed as required under Iowa Code section </w:t>
      </w:r>
      <w:hyperlink r:id="rId7">
        <w:r>
          <w:rPr>
            <w:rStyle w:val="Hyperlink"/>
            <w:rFonts w:ascii="Times New Roman" w:hAnsi="Times New Roman"/>
            <w:b w:val="false"/>
            <w:i w:val="false"/>
            <w:color w:val="000000"/>
            <w:sz w:val="22"/>
          </w:rPr>
          <w:t>214.2</w:t>
        </w:r>
      </w:hyperlink>
      <w:r>
        <w:rPr>
          <w:rFonts w:ascii="Times New Roman" w:hAnsi="Times New Roman"/>
          <w:b w:val="false"/>
          <w:i w:val="false"/>
          <w:color w:val="000000"/>
          <w:sz w:val="22"/>
        </w:rPr>
        <w:t xml:space="preserve"> to use a commercial weighing and measuring device when dispensing gasoline at the retail motor fuel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cessation of the retail dealer’s business of advertising for sale or selling gasoline at the retail motor fuel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installation, replacement, or conversion of a gasoline storage tank located at the retail motor fuel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6732C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214A</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2022 Iowa Acts, House File 2128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6732C</w:t>
      </w:r>
      <w:r>
        <w:rPr>
          <w:rFonts w:ascii="Times New Roman" w:hAnsi="Times New Roman"/>
          <w:b w:val="false"/>
          <w:i w:val="false"/>
          <w:color w:val="000000"/>
          <w:sz w:val="21"/>
        </w:rPr>
        <w:t xml:space="preserve"> (Notice ARC 6516C, IAB 9/7/22)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4A.1.pdf" Type="http://schemas.openxmlformats.org/officeDocument/2006/relationships/hyperlink" Id="rId5"/>
    <Relationship TargetMode="External" Target="https://www.legis.iowa.gov/docs/ico/chapter/455G.30.pdf" Type="http://schemas.openxmlformats.org/officeDocument/2006/relationships/hyperlink" Id="rId6"/>
    <Relationship TargetMode="External" Target="https://www.legis.iowa.gov/docs/ico/chapter/214.2.pdf" Type="http://schemas.openxmlformats.org/officeDocument/2006/relationships/hyperlink" Id="rId7"/>
    <Relationship TargetMode="External" Target="https://www.legis.iowa.gov/docs/ico/chapter/214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