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STANDARDS FOR DAIRY PRODUCTS</w:t>
      </w:r>
    </w:p>
    <w:p>
      <w:pPr>
        <w:spacing w:before="0" w:after="0"/>
        <w:ind w:left="120"/>
        <w:jc w:val="center"/>
      </w:pPr>
      <w:r>
        <w:rPr>
          <w:rFonts w:ascii="Times New Roman" w:hAnsi="Times New Roman"/>
          <w:b w:val="false"/>
          <w:i w:val="false"/>
          <w:color w:val="000000"/>
          <w:sz w:val="14"/>
        </w:rPr>
        <w:t>[Prior to 3/9/88, see Agriculture Department, 30—Ch 34]</w:t>
      </w:r>
    </w:p>
    <w:p>
      <w:pPr>
        <w:spacing w:before="0" w:after="0"/>
        <w:ind w:left="120"/>
        <w:jc w:val="center"/>
      </w:pPr>
      <w:r>
        <w:rPr>
          <w:rFonts w:ascii="Times New Roman" w:hAnsi="Times New Roman"/>
          <w:b w:val="false"/>
          <w:i w:val="false"/>
          <w:color w:val="000000"/>
          <w:sz w:val="14"/>
        </w:rPr>
        <w:t>[Prior to 7/27/88, see 21—Ch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21—71.1</w:t>
      </w:r>
      <w:r>
        <w:rPr>
          <w:rFonts w:ascii="Times New Roman" w:hAnsi="Times New Roman"/>
          <w:b/>
          <w:i w:val="false"/>
          <w:color w:val="000000"/>
          <w:sz w:val="22"/>
        </w:rPr>
        <w:t xml:space="preserve">(190) </w:t>
      </w:r>
      <w:r>
        <w:rPr>
          <w:rFonts w:ascii="Times New Roman" w:hAnsi="Times New Roman"/>
          <w:b/>
          <w:i w:val="false"/>
          <w:color w:val="000000"/>
          <w:sz w:val="22"/>
        </w:rPr>
        <w:t xml:space="preserve">Dairy products. </w:t>
      </w:r>
      <w:r>
        <w:rPr>
          <w:rFonts w:ascii="Times New Roman" w:hAnsi="Times New Roman"/>
          <w:b w:val="false"/>
          <w:i w:val="false"/>
          <w:color w:val="000000"/>
          <w:sz w:val="22"/>
        </w:rPr>
        <w:t>The general specifications and standards of U.S.D.A. for grades of dairy products as contained in 7 CFR Part 58, Subparts B and H through S, revised as of January 1, 1996, is hereby adopted in its entirety, with the exception of the following subsections: 646, 734, and 101 through 124, 155 through 158, and 505 through 530. Nothing in the foregoing is intended to require use of grades for Iowa dairy products. In addition, the following standards established and revised by FDA as of January 1, 1996, are hereby adopted in their entirety: 21 CFR Parts 101 (Food Labeling), 133 (Cheese and Related Products), 135 (Frozen Dessert), 166 (Margarine), 168 (Sweeteners) and 182 (Substances Generally Recognized Safe). All reference to “administrator” in these rules shall be deemed to mean the Iowa secretary of agriculture and “department” shall be deemed to mean Iowa department of agriculture and land stewardship.</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190.2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21—71.2</w:t>
      </w:r>
      <w:r>
        <w:rPr>
          <w:rFonts w:ascii="Times New Roman" w:hAnsi="Times New Roman"/>
          <w:b/>
          <w:i w:val="false"/>
          <w:color w:val="000000"/>
          <w:sz w:val="22"/>
        </w:rPr>
        <w:t xml:space="preserve">(189,210) </w:t>
      </w:r>
      <w:r>
        <w:rPr>
          <w:rFonts w:ascii="Times New Roman" w:hAnsi="Times New Roman"/>
          <w:b/>
          <w:i w:val="false"/>
          <w:color w:val="000000"/>
          <w:sz w:val="22"/>
        </w:rPr>
        <w:t xml:space="preserve">Requirements for packaging and labeling. </w:t>
      </w:r>
      <w:r>
        <w:rPr>
          <w:rFonts w:ascii="Times New Roman" w:hAnsi="Times New Roman"/>
          <w:b w:val="false"/>
          <w:i w:val="false"/>
          <w:color w:val="000000"/>
          <w:sz w:val="22"/>
        </w:rPr>
        <w:t>The uniform packaging and labeling regulation as adopted by the National Conference on Weights and Measures and published in the current edition “Uniform Laws and Regulations” are hereby adopted in their entirety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189.9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189.10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210.18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21—71.3</w:t>
      </w:r>
      <w:r>
        <w:rPr>
          <w:rFonts w:ascii="Times New Roman" w:hAnsi="Times New Roman"/>
          <w:b/>
          <w:i w:val="false"/>
          <w:color w:val="000000"/>
          <w:sz w:val="22"/>
        </w:rPr>
        <w:t xml:space="preserve">(210) </w:t>
      </w:r>
      <w:r>
        <w:rPr>
          <w:rFonts w:ascii="Times New Roman" w:hAnsi="Times New Roman"/>
          <w:b/>
          <w:i w:val="false"/>
          <w:color w:val="000000"/>
          <w:sz w:val="22"/>
        </w:rPr>
        <w:t xml:space="preserve">Requirements for the method of sale of commodities. </w:t>
      </w:r>
      <w:r>
        <w:rPr>
          <w:rFonts w:ascii="Times New Roman" w:hAnsi="Times New Roman"/>
          <w:b w:val="false"/>
          <w:i w:val="false"/>
          <w:color w:val="000000"/>
          <w:sz w:val="22"/>
        </w:rPr>
        <w:t>The requirements for the method of sale of commodities as adopted by the National Conference on Weights and Measures and published in the current edition “Uniform Laws and Regulations” are hereby adopted in their entirety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210.18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21—71.4</w:t>
      </w:r>
      <w:r>
        <w:rPr>
          <w:rFonts w:ascii="Times New Roman" w:hAnsi="Times New Roman"/>
          <w:b/>
          <w:i w:val="false"/>
          <w:color w:val="000000"/>
          <w:sz w:val="22"/>
        </w:rPr>
        <w:t xml:space="preserve">(210) </w:t>
      </w:r>
      <w:r>
        <w:rPr>
          <w:rFonts w:ascii="Times New Roman" w:hAnsi="Times New Roman"/>
          <w:b/>
          <w:i w:val="false"/>
          <w:color w:val="000000"/>
          <w:sz w:val="22"/>
        </w:rPr>
        <w:t xml:space="preserve">Requirements for unit pricing. </w:t>
      </w:r>
      <w:r>
        <w:rPr>
          <w:rFonts w:ascii="Times New Roman" w:hAnsi="Times New Roman"/>
          <w:b w:val="false"/>
          <w:i w:val="false"/>
          <w:color w:val="000000"/>
          <w:sz w:val="22"/>
        </w:rPr>
        <w:t>The requirements for unit pricing as adopted by the National Conference on Weights and Measures and published in the current edition “Uniform Laws and Regulations” are hereby adopted in their entirety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210.18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21—71.5</w:t>
      </w:r>
      <w:r>
        <w:rPr>
          <w:rFonts w:ascii="Times New Roman" w:hAnsi="Times New Roman"/>
          <w:b/>
          <w:i w:val="false"/>
          <w:color w:val="000000"/>
          <w:sz w:val="22"/>
        </w:rPr>
        <w:t xml:space="preserve">(189,190) </w:t>
      </w:r>
      <w:r>
        <w:rPr>
          <w:rFonts w:ascii="Times New Roman" w:hAnsi="Times New Roman"/>
          <w:b/>
          <w:i w:val="false"/>
          <w:color w:val="000000"/>
          <w:sz w:val="22"/>
        </w:rPr>
        <w:t xml:space="preserve">Flavors. </w:t>
      </w:r>
      <w:r>
        <w:rPr>
          <w:rFonts w:ascii="Times New Roman" w:hAnsi="Times New Roman"/>
          <w:b w:val="false"/>
          <w:i w:val="false"/>
          <w:color w:val="000000"/>
          <w:sz w:val="22"/>
        </w:rPr>
        <w:t xml:space="preserve">In case where a flavor is added to milk or skimmed milk drink or compound, it is not considered by the department as violating section </w:t>
      </w:r>
      <w:hyperlink r:id="rId13">
        <w:r>
          <w:rPr>
            <w:rStyle w:val="Hyperlink"/>
            <w:rFonts w:ascii="Times New Roman" w:hAnsi="Times New Roman"/>
            <w:b w:val="false"/>
            <w:i w:val="false"/>
            <w:color w:val="000000"/>
            <w:sz w:val="22"/>
          </w:rPr>
          <w:t>190.6</w:t>
        </w:r>
      </w:hyperlink>
      <w:r>
        <w:rPr>
          <w:rFonts w:ascii="Times New Roman" w:hAnsi="Times New Roman"/>
          <w:b w:val="false"/>
          <w:i w:val="false"/>
          <w:color w:val="000000"/>
          <w:sz w:val="22"/>
        </w:rPr>
        <w:t xml:space="preserve">, when the fat of said flavor does not exceed ½ of 1 percent of the whole and said compound is labeled as required by section </w:t>
      </w:r>
      <w:hyperlink r:id="rId14">
        <w:r>
          <w:rPr>
            <w:rStyle w:val="Hyperlink"/>
            <w:rFonts w:ascii="Times New Roman" w:hAnsi="Times New Roman"/>
            <w:b w:val="false"/>
            <w:i w:val="false"/>
            <w:color w:val="000000"/>
            <w:sz w:val="22"/>
          </w:rPr>
          <w:t>189.11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189.11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21—71.6</w:t>
      </w:r>
      <w:r>
        <w:rPr>
          <w:rFonts w:ascii="Times New Roman" w:hAnsi="Times New Roman"/>
          <w:b/>
          <w:i w:val="false"/>
          <w:color w:val="000000"/>
          <w:sz w:val="22"/>
        </w:rPr>
        <w:t xml:space="preserve">(190) </w:t>
      </w:r>
      <w:r>
        <w:rPr>
          <w:rFonts w:ascii="Times New Roman" w:hAnsi="Times New Roman"/>
          <w:b/>
          <w:i w:val="false"/>
          <w:color w:val="000000"/>
          <w:sz w:val="22"/>
        </w:rPr>
        <w:t xml:space="preserve">Standard for light butter.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butter” </w:t>
      </w:r>
      <w:r>
        <w:rPr>
          <w:rFonts w:ascii="Times New Roman" w:hAnsi="Times New Roman"/>
          <w:b w:val="false"/>
          <w:i w:val="false"/>
          <w:color w:val="000000"/>
          <w:sz w:val="22"/>
        </w:rPr>
        <w:t xml:space="preserve">is the food defined in Iowa Code section </w:t>
      </w:r>
      <w:hyperlink r:id="rId17">
        <w:r>
          <w:rPr>
            <w:rStyle w:val="Hyperlink"/>
            <w:rFonts w:ascii="Times New Roman" w:hAnsi="Times New Roman"/>
            <w:b w:val="false"/>
            <w:i w:val="false"/>
            <w:color w:val="000000"/>
            <w:sz w:val="22"/>
          </w:rPr>
          <w:t>190.1(1)</w:t>
        </w:r>
      </w:hyperlink>
      <w:r>
        <w:rPr>
          <w:rFonts w:ascii="Times New Roman" w:hAnsi="Times New Roman"/>
          <w:b w:val="false"/>
          <w:i w:val="false"/>
          <w:color w:val="000000"/>
          <w:sz w:val="22"/>
        </w:rPr>
        <w:t xml:space="preserve">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milkfat content of light butter shall be 52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Light butter shall have vitamin A added, if needed, to provide 15,000 international units per pound, within limits of good manufacturing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Light butter may contain the following dairy ingredients: partially skimmed milk, skim milk, buttermilk, whey or whey-derived ingredients.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optional ingredients allowed in light butter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Salt or salt substitutes;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Bacterial cultures;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Nutritive sweeteners;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Emulsifiers and stabilizers;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Safe and suitable color additives;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Natural flavors;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Safe and suitable ingredients that improve texture, prevent syneresis, or extend the shelf life of the product.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Label declaration. The principal display panel of the label must include a comparative statement expressing the reduction in calories and fat relative to butter (i.e., one-third less fat and calories than regular butter).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September 2, 1952; amended August 18, 1970]</w:t>
      </w:r>
    </w:p>
    <w:p>
      <w:pPr>
        <w:spacing w:before="0" w:after="0"/>
        <w:ind w:left="120"/>
        <w:jc w:val="center"/>
      </w:pPr>
      <w:r>
        <w:rPr>
          <w:rFonts w:ascii="Times New Roman" w:hAnsi="Times New Roman"/>
          <w:b w:val="false"/>
          <w:i w:val="false"/>
          <w:color w:val="000000"/>
          <w:sz w:val="21"/>
        </w:rPr>
        <w:t>[Filed 7/29/77, Notice 2/23/77—published 8/24/77, effective 9/28/77]</w:t>
      </w:r>
    </w:p>
    <w:p>
      <w:pPr>
        <w:spacing w:before="0" w:after="0"/>
        <w:ind w:left="120"/>
        <w:jc w:val="center"/>
      </w:pPr>
      <w:r>
        <w:rPr>
          <w:rFonts w:ascii="Times New Roman" w:hAnsi="Times New Roman"/>
          <w:b w:val="false"/>
          <w:i w:val="false"/>
          <w:color w:val="000000"/>
          <w:sz w:val="21"/>
        </w:rPr>
        <w:t>[Filed 6/18/82, Notice 3/3/82—published 7/7/82, effective 8/11/82]</w:t>
      </w:r>
    </w:p>
    <w:p>
      <w:pPr>
        <w:spacing w:before="0" w:after="0"/>
        <w:ind w:left="120"/>
        <w:jc w:val="center"/>
      </w:pPr>
      <w:r>
        <w:rPr>
          <w:rFonts w:ascii="Times New Roman" w:hAnsi="Times New Roman"/>
          <w:b w:val="false"/>
          <w:i w:val="false"/>
          <w:color w:val="000000"/>
          <w:sz w:val="21"/>
        </w:rPr>
        <w:t>[Filed 11/1/85, Notice 9/25/85—published 11/20/85, effective 12/25/85]</w:t>
      </w:r>
    </w:p>
    <w:p>
      <w:pPr>
        <w:spacing w:before="0" w:after="0"/>
        <w:ind w:left="120"/>
        <w:jc w:val="center"/>
      </w:pPr>
      <w:r>
        <w:rPr>
          <w:rFonts w:ascii="Times New Roman" w:hAnsi="Times New Roman"/>
          <w:b w:val="false"/>
          <w:i w:val="false"/>
          <w:color w:val="000000"/>
          <w:sz w:val="21"/>
        </w:rPr>
        <w:t>[Filed 1/8/88, Notice 12/2/87—published 1/27/88, effective 3/2/88]</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2/7/92, Notice 11/27/91—published 3/4/92, effective 4/8/92]</w:t>
      </w:r>
    </w:p>
    <w:p>
      <w:pPr>
        <w:spacing w:before="0" w:after="0"/>
        <w:ind w:left="120"/>
        <w:jc w:val="center"/>
      </w:pPr>
      <w:r>
        <w:rPr>
          <w:rFonts w:ascii="Times New Roman" w:hAnsi="Times New Roman"/>
          <w:b w:val="false"/>
          <w:i w:val="false"/>
          <w:color w:val="000000"/>
          <w:sz w:val="21"/>
        </w:rPr>
        <w:t>[Filed 5/8/92, Notice 3/18/92—published 5/27/92, effective 7/1/92]</w:t>
      </w:r>
    </w:p>
    <w:p>
      <w:pPr>
        <w:spacing w:before="0" w:after="0"/>
        <w:ind w:left="120"/>
        <w:jc w:val="center"/>
      </w:pPr>
      <w:r>
        <w:rPr>
          <w:rFonts w:ascii="Times New Roman" w:hAnsi="Times New Roman"/>
          <w:b w:val="false"/>
          <w:i w:val="false"/>
          <w:color w:val="000000"/>
          <w:sz w:val="21"/>
        </w:rPr>
        <w:t>[Filed 5/2/96, Notice 3/27/96—published 5/22/96, effective 6/26/96]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0.2.pdf" Type="http://schemas.openxmlformats.org/officeDocument/2006/relationships/hyperlink" Id="rId5"/>
    <Relationship TargetMode="External" Target="https://www.legis.iowa.gov/docs/ico/chapter/189.9.pdf" Type="http://schemas.openxmlformats.org/officeDocument/2006/relationships/hyperlink" Id="rId6"/>
    <Relationship TargetMode="External" Target="https://www.legis.iowa.gov/docs/ico/chapter/189.10.pdf" Type="http://schemas.openxmlformats.org/officeDocument/2006/relationships/hyperlink" Id="rId7"/>
    <Relationship TargetMode="External" Target="https://www.legis.iowa.gov/docs/ico/chapter/210.18.pdf" Type="http://schemas.openxmlformats.org/officeDocument/2006/relationships/hyperlink" Id="rId8"/>
    <Relationship TargetMode="External" Target="https://www.legis.iowa.gov/docs/ico/chapter/210.1.pdf" Type="http://schemas.openxmlformats.org/officeDocument/2006/relationships/hyperlink" Id="rId9"/>
    <Relationship TargetMode="External" Target="https://www.legis.iowa.gov/docs/ico/chapter/210.18.pdf" Type="http://schemas.openxmlformats.org/officeDocument/2006/relationships/hyperlink" Id="rId10"/>
    <Relationship TargetMode="External" Target="https://www.legis.iowa.gov/docs/ico/chapter/210.1.pdf" Type="http://schemas.openxmlformats.org/officeDocument/2006/relationships/hyperlink" Id="rId11"/>
    <Relationship TargetMode="External" Target="https://www.legis.iowa.gov/docs/ico/chapter/210.18.pdf" Type="http://schemas.openxmlformats.org/officeDocument/2006/relationships/hyperlink" Id="rId12"/>
    <Relationship TargetMode="External" Target="https://www.legis.iowa.gov/docs/ico/chapter/190.6.pdf" Type="http://schemas.openxmlformats.org/officeDocument/2006/relationships/hyperlink" Id="rId13"/>
    <Relationship TargetMode="External" Target="https://www.legis.iowa.gov/docs/ico/chapter/189.11.pdf" Type="http://schemas.openxmlformats.org/officeDocument/2006/relationships/hyperlink" Id="rId14"/>
    <Relationship TargetMode="External" Target="https://www.legis.iowa.gov/docs/ico/chapter/189.11.pdf" Type="http://schemas.openxmlformats.org/officeDocument/2006/relationships/hyperlink" Id="rId15"/>
    <Relationship TargetMode="External" Target="https://www.legis.iowa.gov/docs/ico/chapter/190.6.pdf" Type="http://schemas.openxmlformats.org/officeDocument/2006/relationships/hyperlink" Id="rId16"/>
    <Relationship TargetMode="External" Target="https://www.legis.iowa.gov/docs/ico/chapter/190.1.pdf" Type="http://schemas.openxmlformats.org/officeDocument/2006/relationships/hyperlink" Id="rId17"/>
    <Relationship TargetMode="External" Target="https://www.legis.iowa.gov/docs/ico/chapter/190.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