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ANIMAL AND LIVESTOCK IMPORTATION</w:t>
      </w:r>
    </w:p>
    <w:p>
      <w:pPr>
        <w:spacing w:before="0" w:after="0"/>
        <w:ind w:left="120"/>
        <w:jc w:val="center"/>
      </w:pPr>
      <w:r>
        <w:rPr>
          <w:rFonts w:ascii="Times New Roman" w:hAnsi="Times New Roman"/>
          <w:b w:val="false"/>
          <w:i w:val="false"/>
          <w:color w:val="000000"/>
          <w:sz w:val="14"/>
        </w:rPr>
        <w:t>[Appeared as Ch 3, 1973 IDR]</w:t>
      </w:r>
    </w:p>
    <w:p>
      <w:pPr>
        <w:spacing w:before="0" w:after="0"/>
        <w:ind w:left="120"/>
        <w:jc w:val="center"/>
      </w:pPr>
      <w:r>
        <w:rPr>
          <w:rFonts w:ascii="Times New Roman" w:hAnsi="Times New Roman"/>
          <w:b w:val="false"/>
          <w:i w:val="false"/>
          <w:color w:val="000000"/>
          <w:sz w:val="14"/>
        </w:rPr>
        <w:t>[Prior to 7/27/88, see Agriculture Department 30—Ch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21—65.1</w:t>
      </w:r>
      <w:r>
        <w:rPr>
          <w:rFonts w:ascii="Times New Roman" w:hAnsi="Times New Roman"/>
          <w:b/>
          <w:i w:val="false"/>
          <w:color w:val="000000"/>
          <w:sz w:val="22"/>
        </w:rPr>
        <w:t xml:space="preserve">(163)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veterinarian” </w:t>
      </w:r>
      <w:r>
        <w:rPr>
          <w:rFonts w:ascii="Times New Roman" w:hAnsi="Times New Roman"/>
          <w:b w:val="false"/>
          <w:i w:val="false"/>
          <w:color w:val="000000"/>
          <w:sz w:val="22"/>
        </w:rPr>
        <w:t>means a veterinarian licensed in the state of origin and approved by the United States Department of Agriculture (USDA), Animal and Plant Health Inspection Service (APHIS), to perform certain functions of federal and cooperative state-federal programs in accordance with the provision of Title 9 Code of Federal Regulations (CFR) §160 through §162.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“Avian influenza- or virulent Newcastle disease-affected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“AI- or VND-affected area” </w:t>
      </w:r>
      <w:r>
        <w:rPr>
          <w:rFonts w:ascii="Times New Roman" w:hAnsi="Times New Roman"/>
          <w:b w:val="false"/>
          <w:i w:val="false"/>
          <w:color w:val="000000"/>
          <w:sz w:val="22"/>
        </w:rPr>
        <w:t>means the ten-kilometer circle in which avian influenza subtype H5 or H7 or VND virus has been diagnosed in poultry within the last 30 days prior to importation, unless the department has issued an order during the 30 days identifying a different area or time based on epidemiological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fowl” </w:t>
      </w:r>
      <w:r>
        <w:rPr>
          <w:rFonts w:ascii="Times New Roman" w:hAnsi="Times New Roman"/>
          <w:b w:val="false"/>
          <w:i w:val="false"/>
          <w:color w:val="000000"/>
          <w:sz w:val="22"/>
        </w:rPr>
        <w:t>means any member of the class Aves that is propagated or maintained under control of a person for commercial, exhibition, or breeding purposes or as a pet.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“Feral swine” </w:t>
      </w:r>
      <w:r>
        <w:rPr>
          <w:rFonts w:ascii="Times New Roman" w:hAnsi="Times New Roman"/>
          <w:b w:val="false"/>
          <w:i w:val="false"/>
          <w:color w:val="000000"/>
          <w:sz w:val="22"/>
        </w:rPr>
        <w:t>means swine that are free-roaming.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individual identification” </w:t>
      </w:r>
      <w:r>
        <w:rPr>
          <w:rFonts w:ascii="Times New Roman" w:hAnsi="Times New Roman"/>
          <w:b w:val="false"/>
          <w:i w:val="false"/>
          <w:color w:val="000000"/>
          <w:sz w:val="22"/>
        </w:rPr>
        <w:t>means a unique individual identification that is secure and traceable including, but not limited to, a USDA-approved identification ear tag that conforms to the alphanumeric national uniform ear tagging system; a USDA-approved premises tattoo; a registered purebred tattoo; or identification that conforms to the National Animal Identification System. An owner’s private brand or tattoo, even though permanent and registered in the state of origin, is not acceptable official individual identification of an animal for the purpose of entry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“Poultry” </w:t>
      </w:r>
      <w:r>
        <w:rPr>
          <w:rFonts w:ascii="Times New Roman" w:hAnsi="Times New Roman"/>
          <w:b w:val="false"/>
          <w:i w:val="false"/>
          <w:color w:val="000000"/>
          <w:sz w:val="22"/>
        </w:rPr>
        <w:t>means chickens, turkeys, domestic waterfowl, ratites, and domestic game birds, except doves and pigeons.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“Pre-entry permit” </w:t>
      </w:r>
      <w:r>
        <w:rPr>
          <w:rFonts w:ascii="Times New Roman" w:hAnsi="Times New Roman"/>
          <w:b w:val="false"/>
          <w:i w:val="false"/>
          <w:color w:val="000000"/>
          <w:sz w:val="22"/>
        </w:rPr>
        <w:t>means a written or verbal authorization provided by the department prior to the importation of animals into Iowa. If required, a pre-entry permit number must be obtained and listed on the Certificate of Veterinary Inspection accompanying the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“Recognized slaughter establishment” </w:t>
      </w:r>
      <w:r>
        <w:rPr>
          <w:rFonts w:ascii="Times New Roman" w:hAnsi="Times New Roman"/>
          <w:b w:val="false"/>
          <w:i w:val="false"/>
          <w:color w:val="000000"/>
          <w:sz w:val="22"/>
        </w:rPr>
        <w:t>means a slaughtering establishment operating under the provisions of either the Federal Meat Inspection Act (21 U.S.C. 601 et seq.) or an equivalent state meat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“Specifically approved auction market” </w:t>
      </w:r>
      <w:r>
        <w:rPr>
          <w:rFonts w:ascii="Times New Roman" w:hAnsi="Times New Roman"/>
          <w:b w:val="false"/>
          <w:i w:val="false"/>
          <w:color w:val="000000"/>
          <w:sz w:val="22"/>
        </w:rPr>
        <w:t>means a stockyard, livestock market, buying station, concentration point, or any other premises under state or federal veterinary supervision where livestock are assembled for sale or sale purposes and which has been approved by USDA as provided in 9 CFR §71.20.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“Transitional swine” </w:t>
      </w:r>
      <w:r>
        <w:rPr>
          <w:rFonts w:ascii="Times New Roman" w:hAnsi="Times New Roman"/>
          <w:b w:val="false"/>
          <w:i w:val="false"/>
          <w:color w:val="000000"/>
          <w:sz w:val="22"/>
        </w:rPr>
        <w:t>means swine that have been, or have had the potential to be, exposed to feral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“Vesicular stomatitis-affected state”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“VS-affected state” </w:t>
      </w:r>
      <w:r>
        <w:rPr>
          <w:rFonts w:ascii="Times New Roman" w:hAnsi="Times New Roman"/>
          <w:b w:val="false"/>
          <w:i w:val="false"/>
          <w:color w:val="000000"/>
          <w:sz w:val="22"/>
        </w:rPr>
        <w:t>means any state in which vesicular stomatitis (VS) virus serotype New Jersey or Indiana has been diagnosed within the last 60 days prior to animal importation.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3993C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21—65.2</w:t>
      </w:r>
      <w:r>
        <w:rPr>
          <w:rFonts w:ascii="Times New Roman" w:hAnsi="Times New Roman"/>
          <w:b/>
          <w:i w:val="false"/>
          <w:color w:val="000000"/>
          <w:sz w:val="22"/>
        </w:rPr>
        <w:t xml:space="preserve">(163) </w:t>
      </w:r>
      <w:r>
        <w:rPr>
          <w:rFonts w:ascii="Times New Roman" w:hAnsi="Times New Roman"/>
          <w:b/>
          <w:i w:val="false"/>
          <w:color w:val="000000"/>
          <w:sz w:val="22"/>
        </w:rPr>
        <w:t xml:space="preserve">Pre-entry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Requests for permits should be directed to the Animal Industry Bureau, Department of Agriculture and Land Stewardship, Wallace State Office Building, Des Moines, Iowa 50319, or may be made by telephoning the bureau at (515)281-5547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All permits shall be valid for one shipment only and shall be void 15 days after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Pre-entry permits are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Cervidae.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domestic fowl or poultry originating from an AI- or VND-affected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Captive wild-type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Cattle and bison originating from states or zones not classified as tuberculosis-free and brucellosis-free.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9151B</w:t>
      </w:r>
      <w:r>
        <w:rPr>
          <w:rFonts w:ascii="Times New Roman" w:hAnsi="Times New Roman"/>
          <w:b w:val="false"/>
          <w:i w:val="false"/>
          <w:color w:val="000000"/>
          <w:sz w:val="16"/>
        </w:rPr>
        <w:t>, IAB 10/20/10, effective 9/20/10</w:t>
      </w:r>
      <w:r>
        <w:rPr>
          <w:rFonts w:ascii="Times New Roman" w:hAnsi="Times New Roman"/>
          <w:b w:val="false"/>
          <w:i w:val="false"/>
          <w:color w:val="000000"/>
          <w:sz w:val="16"/>
        </w:rPr>
        <w:t xml:space="preserve">; </w:t>
      </w:r>
      <w:r>
        <w:rPr>
          <w:rFonts w:ascii="Times New Roman" w:hAnsi="Times New Roman"/>
          <w:b/>
          <w:i w:val="false"/>
          <w:color w:val="000000"/>
          <w:sz w:val="16"/>
        </w:rPr>
        <w:t>ARC 3993C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21—65.3</w:t>
      </w:r>
      <w:r>
        <w:rPr>
          <w:rFonts w:ascii="Times New Roman" w:hAnsi="Times New Roman"/>
          <w:b/>
          <w:i w:val="false"/>
          <w:color w:val="000000"/>
          <w:sz w:val="22"/>
        </w:rPr>
        <w:t xml:space="preserve">(163) </w:t>
      </w:r>
      <w:r>
        <w:rPr>
          <w:rFonts w:ascii="Times New Roman" w:hAnsi="Times New Roman"/>
          <w:b/>
          <w:i w:val="false"/>
          <w:color w:val="000000"/>
          <w:sz w:val="22"/>
        </w:rPr>
        <w:t xml:space="preserve">General requirements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65.3(1)</w:t>
      </w:r>
      <w:r>
        <w:rPr>
          <w:rFonts w:ascii="Times New Roman" w:hAnsi="Times New Roman"/>
          <w:b w:val="false"/>
          <w:i w:val="false"/>
          <w:color w:val="000000"/>
          <w:sz w:val="22"/>
        </w:rPr>
        <w:t> </w:t>
      </w:r>
      <w:r>
        <w:rPr>
          <w:rFonts w:ascii="Times New Roman" w:hAnsi="Times New Roman"/>
          <w:b w:val="false"/>
          <w:i/>
          <w:color w:val="000000"/>
          <w:sz w:val="22"/>
        </w:rPr>
        <w:t xml:space="preserve">Restricted animals. </w:t>
      </w:r>
      <w:r>
        <w:rPr>
          <w:rFonts w:ascii="Times New Roman" w:hAnsi="Times New Roman"/>
          <w:b w:val="false"/>
          <w:i w:val="false"/>
          <w:color w:val="000000"/>
          <w:sz w:val="22"/>
        </w:rPr>
        <w:t>The following animals are restricted from importation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animal, including poultry or birds of any species, that is affected with, or that has been recently exposed to, any infectious, contagious or communicable disease or that originates from a quarantined area shall be shipped or in any manner transported or moved into Iowa, unless approved by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Prairie dogs (Cynomys sp.), tree squirrels (Heliosciurus sp.), rope squirrels (Funisciurus sp.), dormice (Graphiurus sp.), Gambian giant pouched rats (Cricetomys sp.), brush-tailed porcupines (Atherurus sp.), and striped mice (Hybomys sp.) are prohibited from importation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1</w:t>
      </w:r>
      <w:r>
        <w:rPr>
          <w:rFonts w:ascii="Times New Roman" w:hAnsi="Times New Roman"/>
          <w:b/>
          <w:i w:val="false"/>
          <w:color w:val="000000"/>
          <w:sz w:val="22"/>
        </w:rPr>
        <w:t>65.3(2)</w:t>
      </w:r>
      <w:r>
        <w:rPr>
          <w:rFonts w:ascii="Times New Roman" w:hAnsi="Times New Roman"/>
          <w:b w:val="false"/>
          <w:i w:val="false"/>
          <w:color w:val="000000"/>
          <w:sz w:val="22"/>
        </w:rPr>
        <w:t> </w:t>
      </w:r>
      <w:r>
        <w:rPr>
          <w:rFonts w:ascii="Times New Roman" w:hAnsi="Times New Roman"/>
          <w:b w:val="false"/>
          <w:i/>
          <w:color w:val="000000"/>
          <w:sz w:val="22"/>
        </w:rPr>
        <w:t xml:space="preserve">Cleaning and disinfection of transportation vehicles. </w:t>
      </w:r>
      <w:r>
        <w:rPr>
          <w:rFonts w:ascii="Times New Roman" w:hAnsi="Times New Roman"/>
          <w:b w:val="false"/>
          <w:i w:val="false"/>
          <w:color w:val="000000"/>
          <w:sz w:val="22"/>
        </w:rPr>
        <w:t>All stock cars and trucks used for hauling into the state of Iowa livestock (cattle, horses, sheep, goats, Cervidae, poultry and swine) for feeding, breeding, or stock purposes must be cleaned and disinfected before such shipments of livestock are loaded.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w:t>
      </w: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(CVI). </w:t>
      </w:r>
      <w:r>
        <w:rPr>
          <w:rFonts w:ascii="Times New Roman" w:hAnsi="Times New Roman"/>
          <w:b w:val="false"/>
          <w:i w:val="false"/>
          <w:color w:val="000000"/>
          <w:sz w:val="22"/>
        </w:rPr>
        <w:t>Animals imported into the state must be accompanied by a Certificate of Veterinary Inspection, unless specifically exempted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Veterinary Inspection is a legible record accomplished on an official form of the state of origin, issued by a licensed accredited veterinarian and approved by the chief livestock health official of the state of origin; or an equivalent form of the United States Department of Agriculture (USDA) issued by a federally employed veterinarian. A Certificate of Veterinary Inspection may be an official paper form or an official approved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approved CVI shall be forwarded immediately to the chief livestock health official of the state of origin for approval and transmittal.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CVI shall not be valid more than 30 days from the date of inspection of the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approved CVI must accompany the animals to their final destination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information required on the CVI must be fully completed by the issuing veterinarian and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consignor;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consignee;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Point of origin and premises identification, if assigned by the chief livestock health official in the state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Point of destination of the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animals examined;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Official individual identification or group identification of all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Sex, age, and breed of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Test results and herd or state status on diseases specified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Pre-entry permit number, if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statement by the issuing veterinarian that the animals identified on the CVI are free of signs of infectious or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vesicular stomatitis (VS). </w:t>
      </w:r>
      <w:r>
        <w:rPr>
          <w:rFonts w:ascii="Times New Roman" w:hAnsi="Times New Roman"/>
          <w:b w:val="false"/>
          <w:i w:val="false"/>
          <w:color w:val="000000"/>
          <w:sz w:val="22"/>
        </w:rPr>
        <w:t xml:space="preserve">All hoofed animals, including horses, ruminants, swine, and exotic and wild hoofed animals, originating from a VS-affected state must be accompanied by an official Certificate of Veterinary Inspection which, in addition to meeting the requirements of subrule </w:t>
      </w:r>
      <w:hyperlink r:id="rId5">
        <w:r>
          <w:rPr>
            <w:rStyle w:val="Hyperlink"/>
            <w:rFonts w:ascii="Times New Roman" w:hAnsi="Times New Roman"/>
            <w:b w:val="false"/>
            <w:i w:val="false"/>
            <w:color w:val="000000"/>
            <w:sz w:val="22"/>
          </w:rPr>
          <w:t>65.3(3)</w:t>
        </w:r>
      </w:hyperlink>
      <w:r>
        <w:rPr>
          <w:rFonts w:ascii="Times New Roman" w:hAnsi="Times New Roman"/>
          <w:b w:val="false"/>
          <w:i w:val="false"/>
          <w:color w:val="000000"/>
          <w:sz w:val="22"/>
        </w:rPr>
        <w:t>, includes the following statement: “All animals susceptible to Vesicular Stomatitis (VS) identified and included on this certificate have been examined and found to be free from clinical signs of VS, have not been exposed to VS, and, within the past 30 days, have not been within ten (10) miles of any site under quarantine for VS.”</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 Objection filed 1/9/81; see “Objection” at the end of this chapter.</w:t>
      </w:r>
    </w:p>
    <w:p>
      <w:pPr>
        <w:spacing w:before="0" w:after="0"/>
        <w:ind w:left="120"/>
        <w:jc w:val="both"/>
      </w:pPr>
      <w:r>
        <w:rPr>
          <w:rFonts w:ascii="Times New Roman" w:hAnsi="Times New Roman"/>
          <w:b/>
          <w:i w:val="false"/>
          <w:color w:val="000000"/>
          <w:sz w:val="22"/>
        </w:rPr>
        <w:t>21—65.4</w:t>
      </w:r>
      <w:r>
        <w:rPr>
          <w:rFonts w:ascii="Times New Roman" w:hAnsi="Times New Roman"/>
          <w:b/>
          <w:i w:val="false"/>
          <w:color w:val="000000"/>
          <w:sz w:val="22"/>
        </w:rPr>
        <w:t xml:space="preserve">(163) </w:t>
      </w:r>
      <w:r>
        <w:rPr>
          <w:rFonts w:ascii="Times New Roman" w:hAnsi="Times New Roman"/>
          <w:b/>
          <w:i w:val="false"/>
          <w:color w:val="000000"/>
          <w:sz w:val="22"/>
        </w:rPr>
        <w:t xml:space="preserve">Cattle and bison.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(CVI). </w:t>
      </w:r>
      <w:r>
        <w:rPr>
          <w:rFonts w:ascii="Times New Roman" w:hAnsi="Times New Roman"/>
          <w:b w:val="false"/>
          <w:i w:val="false"/>
          <w:color w:val="000000"/>
          <w:sz w:val="22"/>
        </w:rPr>
        <w:t>All cattle and bison imported into the state must be accompanied by a CVI, except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Cattle or bison consigned directly to a specifically approved auction market,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Cattle or bison consigned directly to a recognized slaughter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All cattle and bison imported into the state must have official individual identification, except as otherwise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color w:val="000000"/>
          <w:sz w:val="22"/>
        </w:rPr>
        <w:t xml:space="preserve">Requirements and limitations,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Cattle or bison originating from herds or areas under quarantine shall not be admitted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Cattle or bison known to be infected with Johne’s disease shall not be imported except to a recognized slaughter establishment and shall be accompanied by an owner-shipper statement that identifies the animals as positive to an official Johne’s disease test. Such statement shall be delivered to the consignee, unless prior approval is obtained from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Cattle (beef-type) and bison steers and heifers more than 6 months of age but less than 18 months of age may be imported for feeding purposes without official individual identification and quarantined to the premises of destination. However, cattle and bison originating from a state which is not a tuberculosis-free state and heifers originating from a state which is not a brucellosis-free state are not eligible for this identification exemption. The CVI must contain the statement: “These animals are quarantined to the premises of destination until moved to slaughter.”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Tuberculosis test. </w:t>
      </w:r>
      <w:r>
        <w:rPr>
          <w:rFonts w:ascii="Times New Roman" w:hAnsi="Times New Roman"/>
          <w:b w:val="false"/>
          <w:i w:val="false"/>
          <w:color w:val="000000"/>
          <w:sz w:val="22"/>
        </w:rPr>
        <w:t>Testing requirements for tuberculosis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tuberculosis test is not required for importation of cattle or bison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cattle or bison are native to, and originate from, an accredited tuberculosis-free herd (accredited herd number and date of last test must be listed on the CVI), state, or zone;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cattle (beef-type) and bison are between the ages of 6 months and 18 months and are being imported for feeding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negative tuberculosis test is required within 60 days prior to importation for cattle or bison six months of age or older that are not exempted by </w:t>
      </w:r>
      <w:hyperlink r:id="rId6">
        <w:r>
          <w:rPr>
            <w:rStyle w:val="Hyperlink"/>
            <w:rFonts w:ascii="Times New Roman" w:hAnsi="Times New Roman"/>
            <w:b w:val="false"/>
            <w:i w:val="false"/>
            <w:color w:val="000000"/>
            <w:sz w:val="22"/>
          </w:rPr>
          <w:t>65.4(3)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Cattle and bison less than 6 months of age that originate from a herd, state, or zone that is not accredited as tuberculosis-free or as modified accredited advanced must originate from a herd which has been whole-herd tested negative for tuberculosis within 12 months prior to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brucellosis test is not required for importation of cattle or bison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cattle or bison are native to, and originate from, a certified brucellosis-free herd (herd number and date of last test shall be listed on the CVI), state, or area;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cattle and bison are official calfhood vaccinates under 18 months of age;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cattle and bison are steers or spayed heifers.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negative brucellosis test is required within 30 days prior to importation for cattle or bison six months of age or older that are not exempted by </w:t>
      </w:r>
      <w:hyperlink r:id="rId7">
        <w:r>
          <w:rPr>
            <w:rStyle w:val="Hyperlink"/>
            <w:rFonts w:ascii="Times New Roman" w:hAnsi="Times New Roman"/>
            <w:b w:val="false"/>
            <w:i w:val="false"/>
            <w:color w:val="000000"/>
            <w:sz w:val="22"/>
          </w:rPr>
          <w:t>65.4(3)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Cattle and bison less than 6 months of age that originate from a herd, state or zone that is not certified brucellosis-free must originate from a herd which has been whole-herd tested negative for brucellosis within 12 months prior to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brucellosis tests of cattle and bison shall be conducted by state or federal laboratories or by approved laboratories under the supervision of the chief livestock health official of the state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Trichomoniasis test. </w:t>
      </w:r>
      <w:r>
        <w:rPr>
          <w:rFonts w:ascii="Times New Roman" w:hAnsi="Times New Roman"/>
          <w:b w:val="false"/>
          <w:i w:val="false"/>
          <w:color w:val="000000"/>
          <w:sz w:val="22"/>
        </w:rPr>
        <w:t>A bull must have a negative trichomoniasis test within 30 days prior to importation and have no subsequent sexual exposure. The trichomoniasis test is either one negative polymerase chain reaction (PCR) test or three consecutive weekly negative trichomoniasis foetus cultures. This testing requirement does not apply if the bull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 the age of 24 months and listed on the Certificate of Veterinary Inspection as “virgin” or not having been sexually exposed to any female;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Being sent directly to slaughter or to an auction market and directly to slaughter;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Temporarily in the state for a rodeo or exhibition and leaves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w:t>
      </w:r>
      <w:r>
        <w:rPr>
          <w:rFonts w:ascii="Times New Roman" w:hAnsi="Times New Roman"/>
          <w:b w:val="false"/>
          <w:i w:val="false"/>
          <w:color w:val="000000"/>
          <w:sz w:val="22"/>
        </w:rPr>
        <w:t> </w:t>
      </w:r>
      <w:r>
        <w:rPr>
          <w:rFonts w:ascii="Times New Roman" w:hAnsi="Times New Roman"/>
          <w:b w:val="false"/>
          <w:i/>
          <w:color w:val="000000"/>
          <w:sz w:val="22"/>
        </w:rPr>
        <w:t xml:space="preserve">Rodeo bulls.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Tuberculosis test. </w:t>
      </w:r>
      <w:r>
        <w:rPr>
          <w:rFonts w:ascii="Times New Roman" w:hAnsi="Times New Roman"/>
          <w:b w:val="false"/>
          <w:i w:val="false"/>
          <w:color w:val="000000"/>
          <w:sz w:val="22"/>
        </w:rPr>
        <w:t>A negative tuberculosis test is required within 12 months prior to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r>
        <w:rPr>
          <w:rFonts w:ascii="Times New Roman" w:hAnsi="Times New Roman"/>
          <w:b w:val="false"/>
          <w:i w:val="false"/>
          <w:color w:val="000000"/>
          <w:sz w:val="22"/>
        </w:rPr>
        <w:t>A negative brucellosis test is required within 12 months prior to importation.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9151B</w:t>
      </w:r>
      <w:r>
        <w:rPr>
          <w:rFonts w:ascii="Times New Roman" w:hAnsi="Times New Roman"/>
          <w:b w:val="false"/>
          <w:i w:val="false"/>
          <w:color w:val="000000"/>
          <w:sz w:val="16"/>
        </w:rPr>
        <w:t>, IAB 10/20/10, effective 9/20/10</w:t>
      </w:r>
      <w:r>
        <w:rPr>
          <w:rFonts w:ascii="Times New Roman" w:hAnsi="Times New Roman"/>
          <w:b w:val="false"/>
          <w:i w:val="false"/>
          <w:color w:val="000000"/>
          <w:sz w:val="16"/>
        </w:rPr>
        <w:t xml:space="preserve">; </w:t>
      </w:r>
      <w:r>
        <w:rPr>
          <w:rFonts w:ascii="Times New Roman" w:hAnsi="Times New Roman"/>
          <w:b/>
          <w:i w:val="false"/>
          <w:color w:val="000000"/>
          <w:sz w:val="16"/>
        </w:rPr>
        <w:t>ARC 0230C</w:t>
      </w:r>
      <w:r>
        <w:rPr>
          <w:rFonts w:ascii="Times New Roman" w:hAnsi="Times New Roman"/>
          <w:b w:val="false"/>
          <w:i w:val="false"/>
          <w:color w:val="000000"/>
          <w:sz w:val="16"/>
        </w:rPr>
        <w:t>, IAB 7/25/12, effective 8/29/12</w:t>
      </w:r>
      <w:r>
        <w:rPr>
          <w:rFonts w:ascii="Times New Roman" w:hAnsi="Times New Roman"/>
          <w:b w:val="false"/>
          <w:i w:val="false"/>
          <w:color w:val="000000"/>
          <w:sz w:val="16"/>
        </w:rPr>
        <w:t xml:space="preserve">; </w:t>
      </w:r>
      <w:r>
        <w:rPr>
          <w:rFonts w:ascii="Times New Roman" w:hAnsi="Times New Roman"/>
          <w:b/>
          <w:i w:val="false"/>
          <w:color w:val="000000"/>
          <w:sz w:val="16"/>
        </w:rPr>
        <w:t>ARC 1278C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21—65.5</w:t>
      </w:r>
      <w:r>
        <w:rPr>
          <w:rFonts w:ascii="Times New Roman" w:hAnsi="Times New Roman"/>
          <w:b/>
          <w:i w:val="false"/>
          <w:color w:val="000000"/>
          <w:sz w:val="22"/>
        </w:rPr>
        <w:t xml:space="preserve">(163,166D) </w:t>
      </w:r>
      <w:r>
        <w:rPr>
          <w:rFonts w:ascii="Times New Roman" w:hAnsi="Times New Roman"/>
          <w:b/>
          <w:i w:val="false"/>
          <w:color w:val="000000"/>
          <w:sz w:val="22"/>
        </w:rPr>
        <w:t xml:space="preserve">Swine.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Veterinary Inspection (CVI). All swine imported into the state, except swine consigned directly to a recognized slaughter establishment, swine consigned to a specifically approved auction market, or swine that are moved in accordance with an approved swine production health plan (SPHP), must be accompanied by a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swine imported into the state, except swine consigned directly to a recognized slaughter establishment, swine consigned to a specifically approved auction market, or swine that are moved in accordance with an approved swine production health plan (SPHP), must have official individual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swine imported into the state must originate from a herd or area not under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Feral swine are not eligible for importation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swine must meet the requirements of </w:t>
      </w:r>
      <w:hyperlink r:id="rId8">
        <w:r>
          <w:rPr>
            <w:rStyle w:val="Hyperlink"/>
            <w:rFonts w:ascii="Times New Roman" w:hAnsi="Times New Roman"/>
            <w:b w:val="false"/>
            <w:i w:val="false"/>
            <w:color w:val="000000"/>
            <w:sz w:val="22"/>
          </w:rPr>
          <w:t>65.5(4)</w:t>
        </w:r>
      </w:hyperlink>
      <w:r>
        <w:rPr>
          <w:rFonts w:ascii="Times New Roman" w:hAnsi="Times New Roman"/>
          <w:b w:val="false"/>
          <w:i w:val="false"/>
          <w:color w:val="000000"/>
          <w:sz w:val="22"/>
        </w:rPr>
        <w:t xml:space="preserve"> in addition to the general requirements. Transitional swine are swine that have been, or have had the potential to be, exposed to feral swine.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color w:val="000000"/>
          <w:sz w:val="22"/>
        </w:rPr>
        <w:t xml:space="preserve">Breeding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r>
        <w:rPr>
          <w:rFonts w:ascii="Times New Roman" w:hAnsi="Times New Roman"/>
          <w:b w:val="false"/>
          <w:i w:val="false"/>
          <w:color w:val="000000"/>
          <w:sz w:val="22"/>
        </w:rPr>
        <w:t>All breeding swine imported into 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Originate from herds not known to be infected with, or exposed to, brucellosis and be accompanied by proof of a negative brucellosis test conducted within 30 days prior to importation;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Originate directly from a validated brucellosis-free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Originate directly from a validated brucellosis-free herd. The date of the last test and herd validation number must be included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Pseudorabies test. </w:t>
      </w:r>
      <w:r>
        <w:rPr>
          <w:rFonts w:ascii="Times New Roman" w:hAnsi="Times New Roman"/>
          <w:b w:val="false"/>
          <w:i w:val="false"/>
          <w:color w:val="000000"/>
          <w:sz w:val="22"/>
        </w:rPr>
        <w:t>All breeding swine imported into 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Originate from a herd not known to be infected with, or exposed to, pseudorabies and be accompanied by proof of a negative pseudorabies test conducted within 30 days of importation;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Originate from a qualified pseudorabies negative (QN) herd (the date of last test and herd number shall be listed on the CVI);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Originate from a pseudorabies Stage IV or Stage V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color w:val="000000"/>
          <w:sz w:val="22"/>
        </w:rPr>
        <w:t xml:space="preserve">Feeder swine.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r>
        <w:rPr>
          <w:rFonts w:ascii="Times New Roman" w:hAnsi="Times New Roman"/>
          <w:b w:val="false"/>
          <w:i w:val="false"/>
          <w:color w:val="000000"/>
          <w:sz w:val="22"/>
        </w:rPr>
        <w:t>Swine imported into the state for further feeding must originate from herds not known to be infected with, or exposed to, brucellosis.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Pseudorabies test. </w:t>
      </w:r>
      <w:r>
        <w:rPr>
          <w:rFonts w:ascii="Times New Roman" w:hAnsi="Times New Roman"/>
          <w:b w:val="false"/>
          <w:i w:val="false"/>
          <w:color w:val="000000"/>
          <w:sz w:val="22"/>
        </w:rPr>
        <w:t>Swine imported into the state for further feeding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Originate from herds not known to be infected with, or exposed to, pseudorabies and be accompanied by proof of a negative pseudorabies test conducted within 30 days prior to importation;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Originate from a qualified pseudorabies negative (QN) herd;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Originate from a pseudorabies Stage III, Stage IV or Stage V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color w:val="000000"/>
          <w:sz w:val="22"/>
        </w:rPr>
        <w:t xml:space="preserve">Captive wild-type and transitional swine. </w:t>
      </w:r>
      <w:r>
        <w:rPr>
          <w:rFonts w:ascii="Times New Roman" w:hAnsi="Times New Roman"/>
          <w:b w:val="false"/>
          <w:i w:val="false"/>
          <w:color w:val="000000"/>
          <w:sz w:val="22"/>
        </w:rPr>
        <w:t>Captive wild-type and transitional swine imported into the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Originate from herds not known to be infected with, or exposed to, brucellosis and be accompanied by proof of a negative brucellosis test conducted within 30 days prior to importation;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Originate from herds not known to be infected with, or exposed to, pseudorabies and be accompanied by proof of a negative pseudorabies test conducted within 30 days prior to importation;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pre-entry permit from the state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w:t>
      </w:r>
      <w:r>
        <w:rPr>
          <w:rFonts w:ascii="Times New Roman" w:hAnsi="Times New Roman"/>
          <w:b w:val="false"/>
          <w:i w:val="false"/>
          <w:color w:val="000000"/>
          <w:sz w:val="22"/>
        </w:rPr>
        <w:t> </w:t>
      </w:r>
      <w:r>
        <w:rPr>
          <w:rFonts w:ascii="Times New Roman" w:hAnsi="Times New Roman"/>
          <w:b w:val="false"/>
          <w:i/>
          <w:color w:val="000000"/>
          <w:sz w:val="22"/>
        </w:rPr>
        <w:t xml:space="preserve">Swine for slaughter. </w:t>
      </w:r>
      <w:r>
        <w:rPr>
          <w:rFonts w:ascii="Times New Roman" w:hAnsi="Times New Roman"/>
          <w:b w:val="false"/>
          <w:i w:val="false"/>
          <w:color w:val="000000"/>
          <w:sz w:val="22"/>
        </w:rPr>
        <w:t>All swine that are moved directly to a recognized slaughter establishment or to a specifically approved auction market for sale directly to a recognized slaughter establishment for immediate slaughter may be moved without restriction.</w:t>
      </w:r>
    </w:p>
    <w:p>
      <w:pPr>
        <w:spacing w:before="0" w:after="0"/>
        <w:ind w:left="120"/>
        <w:jc w:val="both"/>
      </w:pPr>
      <w:r>
        <w:rPr>
          <w:rFonts w:ascii="Times New Roman" w:hAnsi="Times New Roman"/>
          <w:b/>
          <w:i w:val="false"/>
          <w:color w:val="000000"/>
          <w:sz w:val="22"/>
        </w:rPr>
        <w:t>21—65.6</w:t>
      </w:r>
      <w:r>
        <w:rPr>
          <w:rFonts w:ascii="Times New Roman" w:hAnsi="Times New Roman"/>
          <w:b/>
          <w:i w:val="false"/>
          <w:color w:val="000000"/>
          <w:sz w:val="22"/>
        </w:rPr>
        <w:t xml:space="preserve">(163) </w:t>
      </w:r>
      <w:r>
        <w:rPr>
          <w:rFonts w:ascii="Times New Roman" w:hAnsi="Times New Roman"/>
          <w:b/>
          <w:i w:val="false"/>
          <w:color w:val="000000"/>
          <w:sz w:val="22"/>
        </w:rPr>
        <w:t xml:space="preserve">Goats.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Veterinary Inspection (CVI). All goats imported into the state, except goats consigned directly to a recognized slaughter establishment and goats consigned to a specifically approved auction market, must be accompanied by a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sexually intact goats imported into the state that are registered, are used for exhibition, or have resided on the same premises with or been commingled with sheep must be officially identified with either ear tags or tattoos that meet the requirements specified in 9 CFR §79.2 and §79.3 and the Scrapie Eradication Uniform Methods and Rules. All other goats imported into the state must have official individual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goats imported into the state must originate from a herd or area not under quarantine.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color w:val="000000"/>
          <w:sz w:val="22"/>
        </w:rPr>
        <w:t xml:space="preserve">Breeding and dairy goats.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Brucellosis.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sexually intact goats six months of age or older, except those for immediate slaughter,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Originate from a certified brucellosis-free herd (the date of the last test and certified herd number shall be listed on the CVI);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Originate from a herd not known to be infected with, or exposed to, brucellosis and be accompanied by proof of a negative brucellosis test conducted within 30 days prior to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Sexually intact goats less than six months of age must originate from a herd which has been whole-herd tested negative for brucellosis within the last 12 months or must originate from a certified brucellosis-free herd (the date of the last test and certified herd number shall be listed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Tuberculosis.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goats six months of age or older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Originate from an accredited tuberculosis-free herd (the date of last test and accredited herd number shall be listed on the CVI);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Originate from a herd which has been whole-herd tested negative for tuberculosis within 12 months of importation (the date of herd test shall be listed on the CVI);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Originate from a herd not known to be infected with, or exposed to, tuberculosis and be accompanied by proof of a negative tuberculosis test conducted within 60 days of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Goats less than six months of age must originate from a herd which has been whole-herd tested negative for tuberculosis within the last 12 months or must originate from an accredited tuberculosis-free herd (the date of last test and accredited herd number shall be listed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color w:val="000000"/>
          <w:sz w:val="22"/>
        </w:rPr>
        <w:t xml:space="preserve">Scrapie. </w:t>
      </w:r>
      <w:r>
        <w:rPr>
          <w:rFonts w:ascii="Times New Roman" w:hAnsi="Times New Roman"/>
          <w:b w:val="false"/>
          <w:i w:val="false"/>
          <w:color w:val="000000"/>
          <w:sz w:val="22"/>
        </w:rPr>
        <w:t>Sexually intact goats from premises where scrapie has been known to exist within the last 60 months or sexually intact goats under surveillance for scrapie shall not be admitted into Iowa, except by permission of the state veterinarian for direct movement to a recognized slaughter establishment.</w:t>
      </w:r>
    </w:p>
    <w:p>
      <w:pPr>
        <w:spacing w:before="0" w:after="0"/>
        <w:ind w:left="120"/>
        <w:jc w:val="both"/>
      </w:pPr>
      <w:r>
        <w:rPr>
          <w:rFonts w:ascii="Times New Roman" w:hAnsi="Times New Roman"/>
          <w:b/>
          <w:i w:val="false"/>
          <w:color w:val="000000"/>
          <w:sz w:val="22"/>
        </w:rPr>
        <w:t>21—65.7</w:t>
      </w:r>
      <w:r>
        <w:rPr>
          <w:rFonts w:ascii="Times New Roman" w:hAnsi="Times New Roman"/>
          <w:b/>
          <w:i w:val="false"/>
          <w:color w:val="000000"/>
          <w:sz w:val="22"/>
        </w:rPr>
        <w:t xml:space="preserve">(163) </w:t>
      </w:r>
      <w:r>
        <w:rPr>
          <w:rFonts w:ascii="Times New Roman" w:hAnsi="Times New Roman"/>
          <w:b/>
          <w:i w:val="false"/>
          <w:color w:val="000000"/>
          <w:sz w:val="22"/>
        </w:rPr>
        <w:t xml:space="preserve">Sheep.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(CVI). </w:t>
      </w:r>
      <w:r>
        <w:rPr>
          <w:rFonts w:ascii="Times New Roman" w:hAnsi="Times New Roman"/>
          <w:b w:val="false"/>
          <w:i w:val="false"/>
          <w:color w:val="000000"/>
          <w:sz w:val="22"/>
        </w:rPr>
        <w:t>All sheep imported into the state, except sheep consigned directly to a recognized slaughter establishment for immediate slaughter or sheep consigned to a specifically approved auction market, shall be accompanied by a CVI. For animals requiring identification, the CVI must include the official scrapie flock identification number(s) for the animal(s) listed or the official individual identification for each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sheep imported into the state must be officially, individually identified with ear tags that meet the requirements specified in 9 CFR §79.2 and §79.3 and the Scrapie Eradication Uniform Methods and Rules, unless exempted pursuant to </w:t>
      </w:r>
      <w:hyperlink r:id="rId9">
        <w:r>
          <w:rPr>
            <w:rStyle w:val="Hyperlink"/>
            <w:rFonts w:ascii="Times New Roman" w:hAnsi="Times New Roman"/>
            <w:b w:val="false"/>
            <w:i w:val="false"/>
            <w:color w:val="000000"/>
            <w:sz w:val="22"/>
          </w:rPr>
          <w:t>65.7(1)</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Exemption to identification requirements. Exemptions to requirements for individual identification of sheep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Sheep less than 18 months of age consigned directly to a recognized slaughter establishment;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Wethers less than 18 months of age;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Sheep less than 18 months of age consigned directly to an Iowa approved terminal feedlot. The CVI must list the approved terminal feedlot number for the feedlot.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color w:val="000000"/>
          <w:sz w:val="22"/>
        </w:rPr>
        <w:t xml:space="preserve">Restrictions and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Scabies. </w:t>
      </w:r>
      <w:r>
        <w:rPr>
          <w:rFonts w:ascii="Times New Roman" w:hAnsi="Times New Roman"/>
          <w:b w:val="false"/>
          <w:i w:val="false"/>
          <w:color w:val="000000"/>
          <w:sz w:val="22"/>
        </w:rPr>
        <w:t>Sheep from scabies-quarantined areas must meet federal regulations for interstate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Scrapie. </w:t>
      </w:r>
      <w:r>
        <w:rPr>
          <w:rFonts w:ascii="Times New Roman" w:hAnsi="Times New Roman"/>
          <w:b w:val="false"/>
          <w:i w:val="false"/>
          <w:color w:val="000000"/>
          <w:sz w:val="22"/>
        </w:rPr>
        <w:t>Sheep that are known to be scrapie-positive, suspect, high-risk, or exposed, or that originate from a known infected, source, exposed, or noncompliant flock may not be imported into the state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flock from which they originate has completed an approved scrapie flock cleanup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permission has been granted by the state veterinarian.</w:t>
      </w:r>
    </w:p>
    <w:p>
      <w:pPr>
        <w:spacing w:before="0" w:after="0"/>
        <w:ind w:left="120"/>
        <w:jc w:val="both"/>
      </w:pPr>
      <w:r>
        <w:rPr>
          <w:rFonts w:ascii="Times New Roman" w:hAnsi="Times New Roman"/>
          <w:b/>
          <w:i w:val="false"/>
          <w:color w:val="000000"/>
          <w:sz w:val="22"/>
        </w:rPr>
        <w:t>21—65.8</w:t>
      </w:r>
      <w:r>
        <w:rPr>
          <w:rFonts w:ascii="Times New Roman" w:hAnsi="Times New Roman"/>
          <w:b/>
          <w:i w:val="false"/>
          <w:color w:val="000000"/>
          <w:sz w:val="22"/>
        </w:rPr>
        <w:t xml:space="preserve">(163) </w:t>
      </w:r>
      <w:r>
        <w:rPr>
          <w:rFonts w:ascii="Times New Roman" w:hAnsi="Times New Roman"/>
          <w:b/>
          <w:i w:val="false"/>
          <w:color w:val="000000"/>
          <w:sz w:val="22"/>
        </w:rPr>
        <w:t xml:space="preserve">Equine.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Veterinary Inspection (CVI). All equine imported into the state of Iowa shall be accompanied by a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Equidae which are positive to a brucellosis test or which show evidence of “poll evil” or “fistulous withers” whether draining or not shall not be allowed to enter the state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Testing—equine infectious anemia (EIA). </w:t>
      </w:r>
      <w:r>
        <w:rPr>
          <w:rFonts w:ascii="Times New Roman" w:hAnsi="Times New Roman"/>
          <w:b w:val="false"/>
          <w:i w:val="false"/>
          <w:color w:val="000000"/>
          <w:sz w:val="22"/>
        </w:rPr>
        <w:t>All Equidae imported into the state must be accompanied by proof of a negative EIA serological test conducted within 12 months prior to importation, except foals under 6 months of age accompanied by their dams which meet the EIA test requirements. The name of the testing laboratory, laboratory accession number, and the date of test must appear on the CVI.</w:t>
      </w:r>
    </w:p>
    <w:p>
      <w:pPr>
        <w:spacing w:before="0" w:after="0"/>
        <w:ind w:left="120"/>
        <w:jc w:val="both"/>
      </w:pPr>
      <w:r>
        <w:rPr>
          <w:rFonts w:ascii="Times New Roman" w:hAnsi="Times New Roman"/>
          <w:b/>
          <w:i w:val="false"/>
          <w:color w:val="000000"/>
          <w:sz w:val="22"/>
        </w:rPr>
        <w:t>21—65.9</w:t>
      </w:r>
      <w:r>
        <w:rPr>
          <w:rFonts w:ascii="Times New Roman" w:hAnsi="Times New Roman"/>
          <w:b/>
          <w:i w:val="false"/>
          <w:color w:val="000000"/>
          <w:sz w:val="22"/>
        </w:rPr>
        <w:t xml:space="preserve">(163) </w:t>
      </w:r>
      <w:r>
        <w:rPr>
          <w:rFonts w:ascii="Times New Roman" w:hAnsi="Times New Roman"/>
          <w:b/>
          <w:i w:val="false"/>
          <w:color w:val="000000"/>
          <w:sz w:val="22"/>
        </w:rPr>
        <w:t xml:space="preserve">Cervidae.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“Cervidae” </w:t>
      </w:r>
      <w:r>
        <w:rPr>
          <w:rFonts w:ascii="Times New Roman" w:hAnsi="Times New Roman"/>
          <w:b w:val="false"/>
          <w:i w:val="false"/>
          <w:color w:val="000000"/>
          <w:sz w:val="22"/>
        </w:rPr>
        <w:t>means all animals belonging to the Cervidae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wasting disease”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“CWD” </w:t>
      </w:r>
      <w:r>
        <w:rPr>
          <w:rFonts w:ascii="Times New Roman" w:hAnsi="Times New Roman"/>
          <w:b w:val="false"/>
          <w:i w:val="false"/>
          <w:color w:val="000000"/>
          <w:sz w:val="22"/>
        </w:rPr>
        <w:t>means a transmissible spongiform encephalopathy of cervids.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“CWD susceptible Cervidae” </w:t>
      </w:r>
      <w:r>
        <w:rPr>
          <w:rFonts w:ascii="Times New Roman" w:hAnsi="Times New Roman"/>
          <w:b w:val="false"/>
          <w:i w:val="false"/>
          <w:color w:val="000000"/>
          <w:sz w:val="22"/>
        </w:rPr>
        <w:t>means all species of Cervidae susceptible to chronic wasting disease, including whitetail deer, blacktail deer, mule deer, red deer, elk, moose, and related species and hybrids of these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Certificate of Veterinary Inspection (CVI). All Cervidae imported into the state shall be accompanied by a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Cervidae imported into this state, except Cervidae consigned directly to a recognized slaughter establishment, must have a pre-entry permit. The permit number must be requested by the licensed accredited veterinarian signing the CVI and issued by the state veterinarian prior to movement of the Cervidae. The permit number must be recorded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color w:val="000000"/>
          <w:sz w:val="22"/>
        </w:rPr>
        <w:t xml:space="preserve">Chronic wasting disease.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Cervidae originating from an area considered to be endemic for chronic wasting disease shall not be allowed entry into Iowa. Cervidae that originate from a herd that has had animal introductions from an area endemic to chronic wasting disease during the preceding five years shall not be allowed entry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CWD susceptible Cervidae shall only be allowed into Iowa from herds which are currently enrolled in and have satisfactorily completed at least five years in an official recognized CWD monitoring program. The CWD herd number, anniversary date, expiration date, and herd status for each individual animal must be listed on the CVI.</w:t>
      </w:r>
    </w:p>
    <w:p>
      <w:pPr>
        <w:spacing w:before="0" w:after="0"/>
        <w:ind w:left="120"/>
        <w:jc w:val="both"/>
      </w:pPr>
      <w:r>
        <w:rPr>
          <w:rFonts w:ascii="Times New Roman" w:hAnsi="Times New Roman"/>
          <w:b w:val="false"/>
          <w:i w:val="false"/>
          <w:color w:val="000000"/>
          <w:sz w:val="22"/>
        </w:rPr>
        <w:t>The following statement must be accurate and listed on the CVI:</w:t>
      </w:r>
    </w:p>
    <w:p>
      <w:pPr>
        <w:spacing w:before="0" w:after="0"/>
        <w:ind w:left="920"/>
        <w:jc w:val="both"/>
      </w:pPr>
      <w:r>
        <w:rPr>
          <w:rFonts w:ascii="Times New Roman" w:hAnsi="Times New Roman"/>
          <w:b w:val="false"/>
          <w:i w:val="false"/>
          <w:color w:val="000000"/>
          <w:sz w:val="22"/>
        </w:rPr>
        <w:t>“All Cervidae on this certificate originate from a CWD monitored or certified herd in which these animals have been kept for at least one year or were natural additions. There has been no diagnosis, sign, or epidemiological evidence of CWD in this herd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Cervidae other than CWD susceptible Cervidae shall be allowed into the state only from herds which are currently enrolled in an official recognized CWD monitoring program. The CWD herd number, anniversary date, expiration date, and herd status for each individual animal must be listed on the CVI. The following statement must be accurate and listed on the CVI:</w:t>
      </w:r>
    </w:p>
    <w:p>
      <w:pPr>
        <w:spacing w:before="0" w:after="0"/>
        <w:ind w:left="920"/>
        <w:jc w:val="both"/>
      </w:pPr>
      <w:r>
        <w:rPr>
          <w:rFonts w:ascii="Times New Roman" w:hAnsi="Times New Roman"/>
          <w:b w:val="false"/>
          <w:i w:val="false"/>
          <w:color w:val="000000"/>
          <w:sz w:val="22"/>
        </w:rPr>
        <w:t>“All Cervidae on this certificate originate from a CWD monitored or certified herd and have not spent any time within the past 36 months in a zoo, animal menagerie or like facility, and have not been on the same premises as a cervid herd which has been classified as a CWD infected herd, exposed herd or trace herd.”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animal must have official individual identification, and all forms of identification must be listed on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Tuberculosis test. </w:t>
      </w:r>
      <w:r>
        <w:rPr>
          <w:rFonts w:ascii="Times New Roman" w:hAnsi="Times New Roman"/>
          <w:b w:val="false"/>
          <w:i w:val="false"/>
          <w:color w:val="000000"/>
          <w:sz w:val="22"/>
        </w:rPr>
        <w:t>Herd status and Single Cervical Tuberculin (SCT) test (Cervidae) are according to USDA Tuberculosis Eradication in Cervidae Uniform Methods and Rules effective January 22,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Cervidae six months of age or older imported into this state, except Cervidae imported directly to a recognized slaughter establishment,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Originate from a herd not under quarantine and be tested negative for tuberculosis (TB) within 90 days of importation by the Single Cervical Tuberculin (SCT) test (Cervidae) or by the Cervid TB Stat-Pak test;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Originate from an accredited herd (Cervidae) or originate from a qualified herd (Cervidae) and be tested negative within 90 days of importation (the test dates and herd number shall be listed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Cervidae less than 6 months of age imported into the state must originate from a herd which has been whole-herd tested negative for tuberculosis within the last 12 months or must originate from an accredited herd (Cervidae).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Brucellosis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Cervidae six months of age or older imported into the state, except Cervidae imported directly to a recognized slaughter establishment,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Originate from a herd not under quarantine and be accompanied by proof of a negative brucellosis test conducted within 90 days of importation;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Originate from a certified brucellosis-free cervid herd or a cervid class free status state (brucellosis). The date of the last test and herd number shall be listed on the CVI.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Cervidae less than 6 months of age must originate from a herd which has been tested negative for brucellosis within the last 12 months or must originate from a certified brucellosis-free herd.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7723B</w:t>
      </w:r>
      <w:r>
        <w:rPr>
          <w:rFonts w:ascii="Times New Roman" w:hAnsi="Times New Roman"/>
          <w:b w:val="false"/>
          <w:i w:val="false"/>
          <w:color w:val="000000"/>
          <w:sz w:val="16"/>
        </w:rPr>
        <w:t>, IAB 4/22/09, effective 4/2/09</w:t>
      </w:r>
      <w:r>
        <w:rPr>
          <w:rFonts w:ascii="Times New Roman" w:hAnsi="Times New Roman"/>
          <w:b w:val="false"/>
          <w:i w:val="false"/>
          <w:color w:val="000000"/>
          <w:sz w:val="16"/>
        </w:rPr>
        <w:t xml:space="preserve">; </w:t>
      </w:r>
      <w:r>
        <w:rPr>
          <w:rFonts w:ascii="Times New Roman" w:hAnsi="Times New Roman"/>
          <w:b/>
          <w:i w:val="false"/>
          <w:color w:val="000000"/>
          <w:sz w:val="16"/>
        </w:rPr>
        <w:t>ARC 8951B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0656C</w:t>
      </w:r>
      <w:r>
        <w:rPr>
          <w:rFonts w:ascii="Times New Roman" w:hAnsi="Times New Roman"/>
          <w:b w:val="false"/>
          <w:i w:val="false"/>
          <w:color w:val="000000"/>
          <w:sz w:val="16"/>
        </w:rPr>
        <w:t>, IAB 3/20/13, effective 3/1/13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21—65.10</w:t>
      </w:r>
      <w:r>
        <w:rPr>
          <w:rFonts w:ascii="Times New Roman" w:hAnsi="Times New Roman"/>
          <w:b/>
          <w:i w:val="false"/>
          <w:color w:val="000000"/>
          <w:sz w:val="22"/>
        </w:rPr>
        <w:t xml:space="preserve">(163) </w:t>
      </w:r>
      <w:r>
        <w:rPr>
          <w:rFonts w:ascii="Times New Roman" w:hAnsi="Times New Roman"/>
          <w:b/>
          <w:i w:val="false"/>
          <w:color w:val="000000"/>
          <w:sz w:val="22"/>
        </w:rPr>
        <w:t xml:space="preserve">Dogs and cats.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Certificate of Veterinary Inspection (CVI). All dogs and cats imported into the state must be accompanied by a CVI indicating apparent freedom from disease or exposure to infectious or contagious disease, except dogs for exhibition and performing dogs entering for a limited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Dogs or cats originating from rabies-quarantined areas shall not be admitted.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65.10(2)</w:t>
      </w:r>
      <w:r>
        <w:rPr>
          <w:rFonts w:ascii="Times New Roman" w:hAnsi="Times New Roman"/>
          <w:b w:val="false"/>
          <w:i w:val="false"/>
          <w:color w:val="000000"/>
          <w:sz w:val="22"/>
        </w:rPr>
        <w:t> </w:t>
      </w:r>
      <w:r>
        <w:rPr>
          <w:rFonts w:ascii="Times New Roman" w:hAnsi="Times New Roman"/>
          <w:b w:val="false"/>
          <w:i/>
          <w:color w:val="000000"/>
          <w:sz w:val="22"/>
        </w:rPr>
        <w:t xml:space="preserve">Rabies.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Cats. </w:t>
      </w:r>
      <w:r>
        <w:rPr>
          <w:rFonts w:ascii="Times New Roman" w:hAnsi="Times New Roman"/>
          <w:b w:val="false"/>
          <w:i w:val="false"/>
          <w:color w:val="000000"/>
          <w:sz w:val="22"/>
        </w:rPr>
        <w:t>No rabies vaccination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Dogs. </w:t>
      </w:r>
      <w:r>
        <w:rPr>
          <w:rFonts w:ascii="Times New Roman" w:hAnsi="Times New Roman"/>
          <w:b w:val="false"/>
          <w:i w:val="false"/>
          <w:color w:val="000000"/>
          <w:sz w:val="22"/>
        </w:rPr>
        <w:t>All dogs four months of age and older must have a current rabies vaccination with a USDA-approved rabies vaccine.</w:t>
      </w:r>
    </w:p>
    <w:p>
      <w:pPr>
        <w:spacing w:before="0" w:after="0"/>
        <w:ind w:left="120"/>
        <w:jc w:val="both"/>
      </w:pPr>
      <w:r>
        <w:rPr>
          <w:rFonts w:ascii="Times New Roman" w:hAnsi="Times New Roman"/>
          <w:b/>
          <w:i w:val="false"/>
          <w:color w:val="000000"/>
          <w:sz w:val="22"/>
        </w:rPr>
        <w:t>21—65.11</w:t>
      </w:r>
      <w:r>
        <w:rPr>
          <w:rFonts w:ascii="Times New Roman" w:hAnsi="Times New Roman"/>
          <w:b/>
          <w:i w:val="false"/>
          <w:color w:val="000000"/>
          <w:sz w:val="22"/>
        </w:rPr>
        <w:t xml:space="preserve">(163) </w:t>
      </w:r>
      <w:r>
        <w:rPr>
          <w:rFonts w:ascii="Times New Roman" w:hAnsi="Times New Roman"/>
          <w:b/>
          <w:i w:val="false"/>
          <w:color w:val="000000"/>
          <w:sz w:val="22"/>
        </w:rPr>
        <w:t xml:space="preserve">Poultry, domestic fowl, and hatching eggs.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color w:val="000000"/>
          <w:sz w:val="22"/>
        </w:rPr>
        <w:t xml:space="preserve">Certificate of Veterinary Inspection (CVI). </w:t>
      </w:r>
      <w:r>
        <w:rPr>
          <w:rFonts w:ascii="Times New Roman" w:hAnsi="Times New Roman"/>
          <w:b w:val="false"/>
          <w:i w:val="false"/>
          <w:color w:val="000000"/>
          <w:sz w:val="22"/>
        </w:rPr>
        <w:t>All poultry, domestic fowl, and their hatching eggs imported into the state, except poultry and domestic fowl consigned directly to a recognized slaughter establishment or a specifically approved auction market, must be accompanied by a CVI. For poultry and hatching eggs classified under provisions of the National Poultry Improvement Plan (NPIP), a VS Form 9-3, Report of Sales of Hatching Eggs, Chicks and Poults, may be substituted for the CVI.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color w:val="000000"/>
          <w:sz w:val="22"/>
        </w:rPr>
        <w:t xml:space="preserve">Restrictions and limitations, 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poultry, domestic fowl, and their hatching eggs being imported into the state and not originating from an AI- or VND-affected area must have a pre-entry permit issued by the Iowa Poultry Association. This permit may be obtained by calling (515)727-4701, extension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Importations from an AI- or VND-affected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All domestic fowl, live poultry or poultry products from an AI- or VND-affected area may be considered for importation on a case-by-case basis following a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Poultry or poultry products must originate from a flock that is classified as AI clean under provision of the NPIP. The CVI must indicate that the poultry or poultry products originate from an AI- or VND-negative flock and include a description of the birds, the test date, test results, and the name of the testing laboratory. The initial tests required for pre-entry permitting of a flock from an AI-affected area include polymerase chain reaction (PCR) and agar gel precipitin (AGP) or enzyme-linked immunosorbent assay (ELISA). The PCR test is required for subsequent permitting during the originating area’s continuous designation as AI-affected. PCR is the test required of a flock from a VND-affected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Pre-entry permit. All domestic fowl, live poultry or poultry products originating from an AI- or VND-affected area must have a pre-entry permit issued by the state veterinarian. Requests for pre-entry permits should be directed to the Animal Industry Bureau, Department of Agriculture and Land Stewardship, Wallace State Office Building, Des Moines, Iowa 50319, or may be made by telephoning (515)281-4103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Domestic fowl, live poultry or poultry products originating from a quarantined area shall not be allowed entry into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w:t>
      </w:r>
      <w:r>
        <w:rPr>
          <w:rFonts w:ascii="Times New Roman" w:hAnsi="Times New Roman"/>
          <w:b w:val="false"/>
          <w:i w:val="false"/>
          <w:color w:val="000000"/>
          <w:sz w:val="22"/>
        </w:rPr>
        <w:t> </w:t>
      </w:r>
      <w:r>
        <w:rPr>
          <w:rFonts w:ascii="Times New Roman" w:hAnsi="Times New Roman"/>
          <w:b w:val="false"/>
          <w:i/>
          <w:color w:val="000000"/>
          <w:sz w:val="22"/>
        </w:rPr>
        <w:t xml:space="preserve">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Pullorum-typhoid test.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negative test for pullorum-typhoid is required within 30 days of importation for domestic fowl or live poultry or for the flock from which hatching eggs originate unless exempted pursuant to </w:t>
      </w:r>
      <w:hyperlink r:id="rId10">
        <w:r>
          <w:rPr>
            <w:rStyle w:val="Hyperlink"/>
            <w:rFonts w:ascii="Times New Roman" w:hAnsi="Times New Roman"/>
            <w:b w:val="false"/>
            <w:i w:val="false"/>
            <w:color w:val="000000"/>
            <w:sz w:val="22"/>
          </w:rPr>
          <w:t>65.11(3)</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Exemptions to the test requirements. No test is required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Imported domestic fowl, live poultry or hatching eggs originating from flocks classified under provisions of the NPIP, or an equivalent program as determined by the department, as pullorum-typhoid clean.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Exotic birds or other pet birds.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Poultry consigned directly to a recognized slaughter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Mycoplasma gallisepticum test—turkeys. </w:t>
      </w:r>
      <w:r>
        <w:rPr>
          <w:rFonts w:ascii="Times New Roman" w:hAnsi="Times New Roman"/>
          <w:b w:val="false"/>
          <w:i w:val="false"/>
          <w:color w:val="000000"/>
          <w:sz w:val="22"/>
        </w:rPr>
        <w:t>Live turkeys or turkey hatching eggs for importation must originate from a flock that has been tested annually and can be classified as U.S. mycoplasma gallisepticum clean as provided by the NPIP or an equivalent program as determined by the department. Turkeys consigned directly to a recognized slaughter establishment are not affected by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3993C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 xml:space="preserve">; </w:t>
      </w:r>
      <w:r>
        <w:rPr>
          <w:rFonts w:ascii="Times New Roman" w:hAnsi="Times New Roman"/>
          <w:b/>
          <w:i w:val="false"/>
          <w:color w:val="000000"/>
          <w:sz w:val="16"/>
        </w:rPr>
        <w:t>ARC 6336C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21—65.12</w:t>
      </w:r>
      <w:r>
        <w:rPr>
          <w:rFonts w:ascii="Times New Roman" w:hAnsi="Times New Roman"/>
          <w:b/>
          <w:i w:val="false"/>
          <w:color w:val="000000"/>
          <w:sz w:val="22"/>
        </w:rPr>
        <w:t xml:space="preserve">(163) </w:t>
      </w:r>
      <w:r>
        <w:rPr>
          <w:rFonts w:ascii="Times New Roman" w:hAnsi="Times New Roman"/>
          <w:b/>
          <w:i w:val="false"/>
          <w:color w:val="000000"/>
          <w:sz w:val="22"/>
        </w:rPr>
        <w:t xml:space="preserve">Swine production health plan (SPHP).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Swine production health plan (SPHP). </w:t>
      </w:r>
      <w:r>
        <w:rPr>
          <w:rFonts w:ascii="Times New Roman" w:hAnsi="Times New Roman"/>
          <w:b w:val="false"/>
          <w:i w:val="false"/>
          <w:color w:val="000000"/>
          <w:sz w:val="22"/>
        </w:rPr>
        <w:t>A swine production health plan is a written agreement developed for a swine production system and designed to maintain the health of the swine and detect signs of communicable disease. The plan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Address and contact information for all premises that are part of the swine production system and that receive or send swine in interstate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Provisions for regular veterinary inspections of all swine maintained on the identified premises, at intervals no greater than 30 days, by the swine production system’s licensed accredited veterinarian(s).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 of the record-keeping system of the swine production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each official of each swine production system identified in the plan, including the swine production system’s licensed accredited veterinarian(s), the state veterinarian, an APHIS representative, and the state animal health official from each state in which the swine production system has a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managers of all the swine production system’s premises listed in the plan have been notified that any failure of the participants in the swine production system to abide by the provisions of the plan and the applicable provisions of 9 CFR Parts 71 and 85 constitutes a basis for the cancellation of the swine production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Interstate swine movement report. </w:t>
      </w:r>
      <w:r>
        <w:rPr>
          <w:rFonts w:ascii="Times New Roman" w:hAnsi="Times New Roman"/>
          <w:b w:val="false"/>
          <w:i w:val="false"/>
          <w:color w:val="000000"/>
          <w:sz w:val="22"/>
        </w:rPr>
        <w:t>An interstate swine movement report is a paper or electronic document detailing interstate movement of animals within a swine production health system. The interstate swine movement report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location, and premises identification number of the premises from which the swine are to be 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location, and premises identification number of the premises to which the swine are to be 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age, and type of swine to be 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any individual identification or group identification associated with the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swine production system’s licensed accredited veterinarian(s).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health status of the herd from which the swine are to be moved, including any disease of regulatory concern to the state or the United States Department of Agriculture (USDA) Animal Plant Health Inspection Service (APHIS).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accurate statement that swine on the premises from which the swine are to be moved have been inspected by the swine production system’s licensed accredited veterinarian(s) within 30 days prior to the interstate movement, consistent with the dates specified by the premises’ swine production health plan, and found free from signs of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Swine production system. </w:t>
      </w:r>
      <w:r>
        <w:rPr>
          <w:rFonts w:ascii="Times New Roman" w:hAnsi="Times New Roman"/>
          <w:b w:val="false"/>
          <w:i w:val="false"/>
          <w:color w:val="000000"/>
          <w:sz w:val="22"/>
        </w:rPr>
        <w:t>A swine production system is an enterprise that consists of multiple sites of swine production (i.e., sow herds, nursery herds, and growing or finishing herds) that do not include a recognized slaughter facility or livestock market, that are connected by ownership or contractual relationships, and between which swine are moved while remaining under the control of a single owner or a group of contractually connected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Swine production system’s licensed accredited veterinarian. </w:t>
      </w:r>
      <w:r>
        <w:rPr>
          <w:rFonts w:ascii="Times New Roman" w:hAnsi="Times New Roman"/>
          <w:b w:val="false"/>
          <w:i w:val="false"/>
          <w:color w:val="000000"/>
          <w:sz w:val="22"/>
        </w:rPr>
        <w:t>A swine production system’s licensed accredited veterinarian is a licensed accredited veterinarian who is named in a swine production health plan for a premises within a swine production system and who performs inspection of such premises and animals and other duties related to the movement of swine in a swine production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swine moving interstate within an SPHP. </w:t>
      </w:r>
      <w:r>
        <w:rPr>
          <w:rFonts w:ascii="Times New Roman" w:hAnsi="Times New Roman"/>
          <w:b w:val="false"/>
          <w:i w:val="false"/>
          <w:color w:val="000000"/>
          <w:sz w:val="22"/>
        </w:rPr>
        <w:t>Swine that are moved into the state within a swine production system to other than a recognized slaughter facility or a specifically authorized livestock market are not required to be individually identified when moved provided that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swine may be moved interstate only to another premises identified in a valid swine production health plan for that swine production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swine production system must operate under a valid swine production health plan in which both the sending and receiving states have agreed to allow the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swine must have been found free from signs of any communicable disease during the most recent inspection of the premises by the swine production system’s licensed accredited veterinarian(s) within 30 days prior to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the movement of any swine, the producer(s) moving swine must deliver the required interstate swine movement report to the following individuals identified in the swine production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swine production system’s licensed accredited veterinarian for the premises from which the swine are to be 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animal health officials for the state of origin of the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state veterinarian for the state of destination of the swine.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designated by the state animal health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receiving premises must not commingle swine received from different premises in a manner that prevents identification of the premises that sent the swine or groups of swine. This requirement may be met by use of permanent premises or individual animal identification, by keeping groups of animals received from one premises physically separate from animals received from other premises, or by any other effective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premises, the swine production system must maintain for three years after their date of creation records that will allow a state animal health official to trace any animal on the premises back to its previous premises and must maintain copies of each swine production health plan signed by the producer, all interstate swine movement reports issued by the producer, and all reports the swine production system’s accredited veterinarian(s) issues documenting the health status of the swine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premises must allow state animal health officials access to the premises upon request to inspect animals and review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Every seven calendar days, each swine production system must send the state veterinarian a written summary that is based on the interstate swine movement report data and that shows how many animals were moved in the past seven calendar days, the premises from which they were moved, and the premises to which they were 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SPHP. </w:t>
      </w:r>
      <w:r>
        <w:rPr>
          <w:rFonts w:ascii="Times New Roman" w:hAnsi="Times New Roman"/>
          <w:b w:val="false"/>
          <w:i w:val="false"/>
          <w:color w:val="000000"/>
          <w:sz w:val="22"/>
        </w:rPr>
        <w:t>The following procedures apply to cancellation of, or withdrawal from, a swine production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veterinarian may cancel the state’s participation in a swine production health plan by giving written notice to all swine producers, APHIS representatives, accredited veterinarians, and other state animal health officials listed in the plan. Withdrawal shall be effective upon the date specified by the state veterinarian in the notice, but for shipments in transit, withdrawal shall become effective seven days after the date of such notice. Upon withdrawal of the state, the swine production health plan may continue to operate among the other states and parties that are signatory to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swine production system may withdraw one or more of its premises from participation in the plan upon giving written notice to the state veterinarian, APHIS administrator, the accredited veterinarian(s), and all swine producers listed in the plan. Withdrawal shall be effective upon the date specified by the swine production system in the written notice, but for shipments in transit, withdrawal shall become effective seven days after the date of such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veterinarian shall cancel a swine production health plan after determining that swine movements within the swine production system have occurred that were not in compliance with the swine production health plan or with other requirements of this chapter. Before a swine health production plan is canceled, the state veterinarian shall inform a representative of the swine production system of the reasons for the cancellation. The swine production system may appeal the cancellation in writing in accordance with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Administrative Code </w:t>
      </w:r>
      <w:hyperlink r:id="rId12">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 This cancellation shall continue in effect pending the completion of the proceeding, and any judicial review thereof, unless otherwise ordered by the state veterinarian.</w:t>
      </w:r>
    </w:p>
    <w:p>
      <w:pPr>
        <w:spacing w:before="210" w:after="0"/>
        <w:ind w:left="120"/>
        <w:jc w:val="both"/>
      </w:pPr>
      <w:r>
        <w:rPr>
          <w:rFonts w:ascii="Times New Roman" w:hAnsi="Times New Roman"/>
          <w:b/>
          <w:i w:val="false"/>
          <w:color w:val="000000"/>
          <w:sz w:val="22"/>
        </w:rPr>
        <w:t>21—65.13</w:t>
      </w:r>
      <w:r>
        <w:rPr>
          <w:rFonts w:ascii="Times New Roman" w:hAnsi="Times New Roman"/>
          <w:b/>
          <w:i w:val="false"/>
          <w:color w:val="000000"/>
          <w:sz w:val="22"/>
        </w:rPr>
        <w:t xml:space="preserve">(163) </w:t>
      </w:r>
      <w:r>
        <w:rPr>
          <w:rFonts w:ascii="Times New Roman" w:hAnsi="Times New Roman"/>
          <w:b/>
          <w:i w:val="false"/>
          <w:color w:val="000000"/>
          <w:sz w:val="22"/>
        </w:rPr>
        <w:t xml:space="preserve">Penalties. </w:t>
      </w:r>
      <w:r>
        <w:rPr>
          <w:rFonts w:ascii="Times New Roman" w:hAnsi="Times New Roman"/>
          <w:b w:val="false"/>
          <w:i w:val="false"/>
          <w:color w:val="000000"/>
          <w:sz w:val="22"/>
        </w:rPr>
        <w:t>A person violating a provision of this chapter shall be subject to a civil penalty of at least $100 but not more than $1,000. In the case of a continuing violation, each day of the continuing violation is a separate violation. A person who falsifies a Certificate of Veterinary Inspection shall be subject to a civil penalty of not more than $5,000 for each reference to an animal falsified on the certificate.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12/3/64]</w:t>
      </w:r>
    </w:p>
    <w:p>
      <w:pPr>
        <w:spacing w:before="0" w:after="0"/>
        <w:ind w:left="120"/>
        <w:jc w:val="center"/>
      </w:pPr>
      <w:r>
        <w:rPr>
          <w:rFonts w:ascii="Times New Roman" w:hAnsi="Times New Roman"/>
          <w:b w:val="false"/>
          <w:i w:val="false"/>
          <w:color w:val="000000"/>
          <w:sz w:val="21"/>
        </w:rPr>
        <w:t>[Filed 4/13/76, Notice 2/9/76—published 5/3/76, effective 6/7/76]</w:t>
      </w:r>
    </w:p>
    <w:p>
      <w:pPr>
        <w:spacing w:before="0" w:after="0"/>
        <w:ind w:left="120"/>
        <w:jc w:val="center"/>
      </w:pPr>
      <w:r>
        <w:rPr>
          <w:rFonts w:ascii="Times New Roman" w:hAnsi="Times New Roman"/>
          <w:b w:val="false"/>
          <w:i w:val="false"/>
          <w:color w:val="000000"/>
          <w:sz w:val="21"/>
        </w:rPr>
        <w:t>[Filed 9/2/77, Notice 7/27/77—published 9/21/77, effective 10/26/77]</w:t>
      </w:r>
    </w:p>
    <w:p>
      <w:pPr>
        <w:spacing w:before="0" w:after="0"/>
        <w:ind w:left="120"/>
        <w:jc w:val="center"/>
      </w:pPr>
      <w:r>
        <w:rPr>
          <w:rFonts w:ascii="Times New Roman" w:hAnsi="Times New Roman"/>
          <w:b w:val="false"/>
          <w:i w:val="false"/>
          <w:color w:val="000000"/>
          <w:sz w:val="21"/>
        </w:rPr>
        <w:t>[Filed 11/21/80, Notice 10/15/80—published 12/10/80, effective 1/14/81]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8/13/82, Notice 7/7/82—published 9/1/82, effective 10/6/82]</w:t>
      </w:r>
    </w:p>
    <w:p>
      <w:pPr>
        <w:spacing w:before="0" w:after="0"/>
        <w:ind w:left="120"/>
        <w:jc w:val="center"/>
      </w:pPr>
      <w:r>
        <w:rPr>
          <w:rFonts w:ascii="Times New Roman" w:hAnsi="Times New Roman"/>
          <w:b w:val="false"/>
          <w:i w:val="false"/>
          <w:color w:val="000000"/>
          <w:sz w:val="21"/>
        </w:rPr>
        <w:t>[Filed emergency 10/8/85—published 11/6/85, effective 10/8/85]</w:t>
      </w:r>
    </w:p>
    <w:p>
      <w:pPr>
        <w:spacing w:before="0" w:after="0"/>
        <w:ind w:left="120"/>
        <w:jc w:val="center"/>
      </w:pPr>
      <w:r>
        <w:rPr>
          <w:rFonts w:ascii="Times New Roman" w:hAnsi="Times New Roman"/>
          <w:b w:val="false"/>
          <w:i w:val="false"/>
          <w:color w:val="000000"/>
          <w:sz w:val="21"/>
        </w:rPr>
        <w:t>[Filed 12/13/85, Notice 11/6/85—published 1/1/86, effective 2/5/86]</w:t>
      </w:r>
    </w:p>
    <w:p>
      <w:pPr>
        <w:spacing w:before="0" w:after="0"/>
        <w:ind w:left="120"/>
        <w:jc w:val="center"/>
      </w:pPr>
      <w:r>
        <w:rPr>
          <w:rFonts w:ascii="Times New Roman" w:hAnsi="Times New Roman"/>
          <w:b w:val="false"/>
          <w:i w:val="false"/>
          <w:color w:val="000000"/>
          <w:sz w:val="21"/>
        </w:rPr>
        <w:t>[Filed emergency 4/6/87—published 4/22/87, effective 4/6/87]</w:t>
      </w:r>
    </w:p>
    <w:p>
      <w:pPr>
        <w:spacing w:before="0" w:after="0"/>
        <w:ind w:left="120"/>
        <w:jc w:val="center"/>
      </w:pPr>
      <w:r>
        <w:rPr>
          <w:rFonts w:ascii="Times New Roman" w:hAnsi="Times New Roman"/>
          <w:b w:val="false"/>
          <w:i w:val="false"/>
          <w:color w:val="000000"/>
          <w:sz w:val="21"/>
        </w:rPr>
        <w:t>[Filed emergency 5/15/87—published 6/3/87, effective 7/1/87]</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10/18/90, Notice 7/25/90—published 11/14/90, effective 1/1/91]</w:t>
      </w:r>
    </w:p>
    <w:p>
      <w:pPr>
        <w:spacing w:before="0" w:after="0"/>
        <w:ind w:left="120"/>
        <w:jc w:val="center"/>
      </w:pPr>
      <w:r>
        <w:rPr>
          <w:rFonts w:ascii="Times New Roman" w:hAnsi="Times New Roman"/>
          <w:b w:val="false"/>
          <w:i w:val="false"/>
          <w:color w:val="000000"/>
          <w:sz w:val="21"/>
        </w:rPr>
        <w:t>[Filed 6/17/94, Notice 5/11/94—published 7/6/94, effective 8/10/94]</w:t>
      </w:r>
    </w:p>
    <w:p>
      <w:pPr>
        <w:spacing w:before="0" w:after="0"/>
        <w:ind w:left="120"/>
        <w:jc w:val="center"/>
      </w:pPr>
      <w:r>
        <w:rPr>
          <w:rFonts w:ascii="Times New Roman" w:hAnsi="Times New Roman"/>
          <w:b w:val="false"/>
          <w:i w:val="false"/>
          <w:color w:val="000000"/>
          <w:sz w:val="21"/>
        </w:rPr>
        <w:t>[Filed 8/25/94, Notice 7/20/94—published 9/14/94, effective 10/19/94]</w:t>
      </w:r>
    </w:p>
    <w:p>
      <w:pPr>
        <w:spacing w:before="0" w:after="0"/>
        <w:ind w:left="120"/>
        <w:jc w:val="center"/>
      </w:pPr>
      <w:r>
        <w:rPr>
          <w:rFonts w:ascii="Times New Roman" w:hAnsi="Times New Roman"/>
          <w:b w:val="false"/>
          <w:i w:val="false"/>
          <w:color w:val="000000"/>
          <w:sz w:val="21"/>
        </w:rPr>
        <w:t>[Filed 2/21/96, Notice 1/17/96—published 3/13/96, effective 4/17/96]</w:t>
      </w:r>
    </w:p>
    <w:p>
      <w:pPr>
        <w:spacing w:before="0" w:after="0"/>
        <w:ind w:left="120"/>
        <w:jc w:val="center"/>
      </w:pPr>
      <w:r>
        <w:rPr>
          <w:rFonts w:ascii="Times New Roman" w:hAnsi="Times New Roman"/>
          <w:b w:val="false"/>
          <w:i w:val="false"/>
          <w:color w:val="000000"/>
          <w:sz w:val="21"/>
        </w:rPr>
        <w:t>[Filed 5/29/96, Notice 4/24/96—published 6/19/96, effective 7/24/96]</w:t>
      </w:r>
    </w:p>
    <w:p>
      <w:pPr>
        <w:spacing w:before="0" w:after="0"/>
        <w:ind w:left="120"/>
        <w:jc w:val="center"/>
      </w:pPr>
      <w:r>
        <w:rPr>
          <w:rFonts w:ascii="Times New Roman" w:hAnsi="Times New Roman"/>
          <w:b w:val="false"/>
          <w:i w:val="false"/>
          <w:color w:val="000000"/>
          <w:sz w:val="21"/>
        </w:rPr>
        <w:t>[Filed 11/27/96, Notice 10/23/96—published 12/18/96, effective 1/22/97]</w:t>
      </w:r>
    </w:p>
    <w:p>
      <w:pPr>
        <w:spacing w:before="0" w:after="0"/>
        <w:ind w:left="120"/>
        <w:jc w:val="center"/>
      </w:pPr>
      <w:r>
        <w:rPr>
          <w:rFonts w:ascii="Times New Roman" w:hAnsi="Times New Roman"/>
          <w:b w:val="false"/>
          <w:i w:val="false"/>
          <w:color w:val="000000"/>
          <w:sz w:val="21"/>
        </w:rPr>
        <w:t>[Filed 11/7/03, Notice 10/1/03—published 11/26/03, effective 12/31/03]</w:t>
      </w:r>
    </w:p>
    <w:p>
      <w:pPr>
        <w:spacing w:before="0" w:after="0"/>
        <w:ind w:left="120"/>
        <w:jc w:val="center"/>
      </w:pPr>
      <w:r>
        <w:rPr>
          <w:rFonts w:ascii="Times New Roman" w:hAnsi="Times New Roman"/>
          <w:b w:val="false"/>
          <w:i w:val="false"/>
          <w:color w:val="000000"/>
          <w:sz w:val="21"/>
        </w:rPr>
        <w:t>[Filed emergency 7/2/04—published 7/21/04, effective 7/2/04]</w:t>
      </w:r>
    </w:p>
    <w:p>
      <w:pPr>
        <w:spacing w:before="0" w:after="0"/>
        <w:ind w:left="120"/>
        <w:jc w:val="center"/>
      </w:pPr>
      <w:r>
        <w:rPr>
          <w:rFonts w:ascii="Times New Roman" w:hAnsi="Times New Roman"/>
          <w:b w:val="false"/>
          <w:i w:val="false"/>
          <w:color w:val="000000"/>
          <w:sz w:val="21"/>
        </w:rPr>
        <w:t>[Filed 5/6/05, Notice 3/30/05—published 5/25/05, effective 6/29/05]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7723B, IAB 4/22/09, effective 4/2/09]</w:t>
      </w:r>
    </w:p>
    <w:p>
      <w:pPr>
        <w:spacing w:before="0" w:after="0"/>
        <w:ind w:left="120"/>
        <w:jc w:val="center"/>
      </w:pPr>
      <w:r>
        <w:rPr>
          <w:rFonts w:ascii="Times New Roman" w:hAnsi="Times New Roman"/>
          <w:b w:val="false"/>
          <w:i w:val="false"/>
          <w:color w:val="000000"/>
          <w:sz w:val="21"/>
        </w:rPr>
        <w:t>[Filed ARC 8951B</w:t>
      </w:r>
      <w:r>
        <w:rPr>
          <w:rFonts w:ascii="Times New Roman" w:hAnsi="Times New Roman"/>
          <w:b w:val="false"/>
          <w:i w:val="false"/>
          <w:color w:val="000000"/>
          <w:sz w:val="21"/>
        </w:rPr>
        <w:t xml:space="preserve"> (Notice ARC 8754B, IAB 5/19/10)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Emergency After Notice ARC 9151B</w:t>
      </w:r>
      <w:r>
        <w:rPr>
          <w:rFonts w:ascii="Times New Roman" w:hAnsi="Times New Roman"/>
          <w:b w:val="false"/>
          <w:i w:val="false"/>
          <w:color w:val="000000"/>
          <w:sz w:val="21"/>
        </w:rPr>
        <w:t xml:space="preserve"> (Notice ARC 8985B, IAB 8/11/10)</w:t>
      </w:r>
      <w:r>
        <w:rPr>
          <w:rFonts w:ascii="Times New Roman" w:hAnsi="Times New Roman"/>
          <w:b w:val="false"/>
          <w:i w:val="false"/>
          <w:color w:val="000000"/>
          <w:sz w:val="21"/>
        </w:rPr>
        <w:t>, IAB 10/20/10, effective 9/20/10]</w:t>
      </w:r>
    </w:p>
    <w:p>
      <w:pPr>
        <w:spacing w:before="0" w:after="0"/>
        <w:ind w:left="120"/>
        <w:jc w:val="center"/>
      </w:pPr>
      <w:r>
        <w:rPr>
          <w:rFonts w:ascii="Times New Roman" w:hAnsi="Times New Roman"/>
          <w:b w:val="false"/>
          <w:i w:val="false"/>
          <w:color w:val="000000"/>
          <w:sz w:val="21"/>
        </w:rPr>
        <w:t>[Filed ARC 0230C</w:t>
      </w:r>
      <w:r>
        <w:rPr>
          <w:rFonts w:ascii="Times New Roman" w:hAnsi="Times New Roman"/>
          <w:b w:val="false"/>
          <w:i w:val="false"/>
          <w:color w:val="000000"/>
          <w:sz w:val="21"/>
        </w:rPr>
        <w:t xml:space="preserve"> (Notice ARC 0140C,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Emergency ARC 90656C</w:t>
      </w:r>
      <w:r>
        <w:rPr>
          <w:rFonts w:ascii="Times New Roman" w:hAnsi="Times New Roman"/>
          <w:b w:val="false"/>
          <w:i w:val="false"/>
          <w:color w:val="000000"/>
          <w:sz w:val="21"/>
        </w:rPr>
        <w:t xml:space="preserve"> (Notice ARC 0642C, IAB 3/6/13)</w:t>
      </w:r>
      <w:r>
        <w:rPr>
          <w:rFonts w:ascii="Times New Roman" w:hAnsi="Times New Roman"/>
          <w:b w:val="false"/>
          <w:i w:val="false"/>
          <w:color w:val="000000"/>
          <w:sz w:val="21"/>
        </w:rPr>
        <w:t>, IAB 3/20/13, effective 3/1/13]</w:t>
      </w:r>
    </w:p>
    <w:p>
      <w:pPr>
        <w:spacing w:before="0" w:after="0"/>
        <w:ind w:left="120"/>
        <w:jc w:val="center"/>
      </w:pPr>
      <w:r>
        <w:rPr>
          <w:rFonts w:ascii="Times New Roman" w:hAnsi="Times New Roman"/>
          <w:b w:val="false"/>
          <w:i w:val="false"/>
          <w:color w:val="000000"/>
          <w:sz w:val="21"/>
        </w:rPr>
        <w:t>[Filed ARC 1278C</w:t>
      </w:r>
      <w:r>
        <w:rPr>
          <w:rFonts w:ascii="Times New Roman" w:hAnsi="Times New Roman"/>
          <w:b w:val="false"/>
          <w:i w:val="false"/>
          <w:color w:val="000000"/>
          <w:sz w:val="21"/>
        </w:rPr>
        <w:t xml:space="preserve"> (Notice ARC 1179C, IAB 11/13/13)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3993C</w:t>
      </w:r>
      <w:r>
        <w:rPr>
          <w:rFonts w:ascii="Times New Roman" w:hAnsi="Times New Roman"/>
          <w:b w:val="false"/>
          <w:i w:val="false"/>
          <w:color w:val="000000"/>
          <w:sz w:val="21"/>
        </w:rPr>
        <w:t xml:space="preserve"> (Notice ARC 3892C, IAB 7/18/18)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6336C</w:t>
      </w:r>
      <w:r>
        <w:rPr>
          <w:rFonts w:ascii="Times New Roman" w:hAnsi="Times New Roman"/>
          <w:b w:val="false"/>
          <w:i w:val="false"/>
          <w:color w:val="000000"/>
          <w:sz w:val="21"/>
        </w:rPr>
        <w:t xml:space="preserve"> (Notice ARC 6235C, IAB 3/9/22)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2"/>
        </w:rPr>
        <w:t>OBJECTION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At its January 9, 1981 meeting the administrative rules review committee voted the following objection:</w:t>
      </w:r>
    </w:p>
    <w:p>
      <w:pPr>
        <w:spacing w:before="0" w:after="0"/>
        <w:ind w:left="120"/>
        <w:jc w:val="left"/>
      </w:pPr>
      <w:r>
        <w:rPr>
          <w:rFonts w:ascii="Times New Roman" w:hAnsi="Times New Roman"/>
          <w:b w:val="false"/>
          <w:i w:val="false"/>
          <w:color w:val="000000"/>
          <w:sz w:val="22"/>
        </w:rPr>
        <w:t>The committee objects to subrule 30 IAC 17.1(3)* on the grounds it is unreasonable. The subrule appears as part of ARC 1630 in III IAB 12 (12/10/80) and requires all livestock vehicles to be cleaned and disinfected before they carry shipments into the state. The committee feels this provision is impossible to enforce because it relates to activities that occur outside of Iowa jurisdiction.</w:t>
      </w:r>
    </w:p>
    <w:p>
      <w:pPr>
        <w:spacing w:before="0" w:after="0"/>
        <w:ind w:left="120"/>
        <w:jc w:val="left"/>
      </w:pPr>
    </w:p>
    <w:p>
      <w:pPr>
        <w:pBdr>
          <w:bottom w:space="2"/>
        </w:pBdr>
        <w:spacing w:before="0" w:after="0"/>
        <w:ind w:left="120"/>
        <w:jc w:val="both"/>
      </w:pPr>
      <w:r>
        <w:rPr>
          <w:rFonts w:ascii="Times New Roman" w:hAnsi="Times New Roman"/>
          <w:b w:val="false"/>
          <w:i w:val="false"/>
          <w:color w:val="000000"/>
          <w:sz w:val="22"/>
        </w:rPr>
        <w:t>Objection to 30 IAC 17.1(3) filed 1/9/81; subrule renumbered 21—65.1(3) IAC 7/27/88; renumbered as 65.3(2) IAB 5/25/05.</w:t>
      </w:r>
    </w:p>
    <w:p>
      <w:pPr>
        <w:pBdr>
          <w:bottom w:space="2"/>
        </w:pBdr>
        <w:spacing w:before="0" w:after="0"/>
        <w:ind w:left="120"/>
        <w:jc w:val="both"/>
      </w:pPr>
      <w:r>
        <w:rPr>
          <w:rFonts w:ascii="Times New Roman" w:hAnsi="Times New Roman"/>
          <w:b w:val="false"/>
          <w:i w:val="false"/>
          <w:color w:val="000000"/>
          <w:sz w:val="22"/>
        </w:rPr>
        <w:t xml:space="preserve"> Renumbered 21—65.1(3) IAC 7/27/88; renumbered as 65.3(2) IAB 5/25/05.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65.3.pdf" Type="http://schemas.openxmlformats.org/officeDocument/2006/relationships/hyperlink" Id="rId5"/>
    <Relationship TargetMode="External" Target="https://www.legis.iowa.gov/docs/iac/rule/21.65.4.pdf" Type="http://schemas.openxmlformats.org/officeDocument/2006/relationships/hyperlink" Id="rId6"/>
    <Relationship TargetMode="External" Target="https://www.legis.iowa.gov/docs/iac/rule/21.65.4.pdf" Type="http://schemas.openxmlformats.org/officeDocument/2006/relationships/hyperlink" Id="rId7"/>
    <Relationship TargetMode="External" Target="https://www.legis.iowa.gov/docs/iac/rule/21.65.5.pdf" Type="http://schemas.openxmlformats.org/officeDocument/2006/relationships/hyperlink" Id="rId8"/>
    <Relationship TargetMode="External" Target="https://www.legis.iowa.gov/docs/iac/rule/21.65.7.pdf" Type="http://schemas.openxmlformats.org/officeDocument/2006/relationships/hyperlink" Id="rId9"/>
    <Relationship TargetMode="External" Target="https://www.legis.iowa.gov/docs/iac/rule/21.65.11.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chapter/21.2.pdf" Type="http://schemas.openxmlformats.org/officeDocument/2006/relationships/hyperlink" Id="rId12"/>
    <Relationship TargetMode="External" Target="https://www.legis.iowa.gov/docs/ico/chapter/16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